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20" w:lineRule="exact"/>
        <w:ind w:firstLine="320" w:firstLineChars="100"/>
        <w:rPr>
          <w:rFonts w:hint="eastAsia" w:ascii="仿宋_GB2312" w:hAnsi="仿宋_GB2312" w:eastAsia="仿宋_GB2312"/>
          <w:b/>
          <w:sz w:val="28"/>
          <w:szCs w:val="22"/>
        </w:rPr>
      </w:pPr>
      <w:r>
        <w:rPr>
          <w:rFonts w:hint="eastAsia" w:ascii="黑体" w:hAnsi="黑体" w:eastAsia="黑体" w:cs="仿宋"/>
          <w:sz w:val="32"/>
          <w:szCs w:val="32"/>
        </w:rPr>
        <w:t>附件1</w:t>
      </w:r>
    </w:p>
    <w:p>
      <w:pPr>
        <w:snapToGrid w:val="0"/>
        <w:spacing w:line="540" w:lineRule="exact"/>
        <w:rPr>
          <w:rFonts w:hint="eastAsia" w:ascii="黑体" w:hAnsi="黑体" w:eastAsia="黑体"/>
          <w:sz w:val="32"/>
          <w:szCs w:val="32"/>
        </w:rPr>
      </w:pPr>
    </w:p>
    <w:p>
      <w:pPr>
        <w:snapToGrid w:val="0"/>
        <w:spacing w:line="540" w:lineRule="exact"/>
        <w:jc w:val="center"/>
        <w:rPr>
          <w:rFonts w:hint="eastAsia" w:ascii="方正小标宋简体" w:hAnsi="华文中宋" w:eastAsia="方正小标宋简体"/>
          <w:sz w:val="44"/>
          <w:szCs w:val="44"/>
        </w:rPr>
      </w:pPr>
      <w:bookmarkStart w:id="0" w:name="_GoBack"/>
      <w:r>
        <w:rPr>
          <w:rFonts w:hint="eastAsia" w:ascii="方正小标宋简体" w:hAnsi="华文中宋" w:eastAsia="方正小标宋简体"/>
          <w:sz w:val="44"/>
          <w:szCs w:val="44"/>
        </w:rPr>
        <w:t>初、中级卫生专业技术资格考试报名条件</w:t>
      </w:r>
    </w:p>
    <w:bookmarkEnd w:id="0"/>
    <w:p>
      <w:pPr>
        <w:snapToGrid w:val="0"/>
        <w:spacing w:line="540" w:lineRule="exact"/>
        <w:ind w:firstLine="720" w:firstLineChars="200"/>
        <w:rPr>
          <w:rFonts w:hint="eastAsia" w:ascii="仿宋" w:hAnsi="仿宋" w:eastAsia="仿宋"/>
          <w:sz w:val="36"/>
          <w:szCs w:val="36"/>
        </w:rPr>
      </w:pPr>
    </w:p>
    <w:p>
      <w:pPr>
        <w:snapToGrid w:val="0"/>
        <w:spacing w:line="54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在北京地区经国家或有关部门批准的医疗卫生机构内，从事医疗、预防、保健、药学、护理、其他卫生技术专业工作的人员，可报名参加北京地区卫生专业技术资格考试。</w:t>
      </w:r>
    </w:p>
    <w:p>
      <w:pPr>
        <w:snapToGrid w:val="0"/>
        <w:spacing w:line="54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一、遵守国家宪法和法律，贯彻新时代卫生与健康工作方针，自觉践行“敬佑生命、救死扶伤、甘于奉献、大爱无疆”的职业精神，具备良好的政治素质、协作精神、敬业精神和医德医风。</w:t>
      </w:r>
    </w:p>
    <w:p>
      <w:pPr>
        <w:snapToGrid w:val="0"/>
        <w:spacing w:line="54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二、身心健康，心理素质良好，能全面履行岗位职责。</w:t>
      </w:r>
    </w:p>
    <w:p>
      <w:pPr>
        <w:snapToGrid w:val="0"/>
        <w:spacing w:line="54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三、卫生专业技术人员申报医疗类、护理类职称，应取得相应职业资格，并按规定进行注册，取得相应的执业证书。</w:t>
      </w:r>
    </w:p>
    <w:p>
      <w:pPr>
        <w:snapToGrid w:val="0"/>
        <w:spacing w:line="54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四、卫生专业技术人员申报各层级职称，除必须达到上述基本条件外，还应分别具备以下条件。</w:t>
      </w:r>
    </w:p>
    <w:p>
      <w:pPr>
        <w:snapToGrid w:val="0"/>
        <w:spacing w:line="54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（一）初级职称</w:t>
      </w:r>
    </w:p>
    <w:p>
      <w:pPr>
        <w:snapToGrid w:val="0"/>
        <w:spacing w:line="54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医士（师）：按照《中华人民共和国执业医师法》参加医师资格考试，取得执业助理医师资格，可视同取得医士职称；取得执业医师资格，可视同取得医师职称。按照《中医药法》参加中医医师确有专长人员医师资格考核，取得中医（专长）医师资格，可视同取得医师职称。</w:t>
      </w:r>
    </w:p>
    <w:p>
      <w:pPr>
        <w:snapToGrid w:val="0"/>
        <w:spacing w:line="54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护士（师）：按照《护士条例》参加护士执业资格考试，取得护士执业资格，可视同取得护士职称；具备大学本科及以上学历或学士及以上学位，从事护士执业活动满一年，可直接聘任护师职称。具备大专学历，从事护士执业活动满3年；或具备中专学历，从事护士执业活动满5年，可参加护师资格考试。</w:t>
      </w:r>
    </w:p>
    <w:p>
      <w:pPr>
        <w:snapToGrid w:val="0"/>
        <w:spacing w:line="54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药（技）士：具备相应专业中专、大专学历，可参加药（技）士资格考试。</w:t>
      </w:r>
    </w:p>
    <w:p>
      <w:pPr>
        <w:snapToGrid w:val="0"/>
        <w:spacing w:line="54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药（技）师：具备相应专业硕士学位；或具备相应专业大学本科学历或学士学位，从事本专业工作满1年；或具备相应专业大专学历，从事本专业工作满3年；或具备相应专业中专学历，取得药（技）士职称后，从事本专业工作满5年，可参加药（技）师资格考试。</w:t>
      </w:r>
    </w:p>
    <w:p>
      <w:pPr>
        <w:snapToGrid w:val="0"/>
        <w:spacing w:line="54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（二）中级职称</w:t>
      </w:r>
    </w:p>
    <w:p>
      <w:pPr>
        <w:snapToGrid w:val="0"/>
        <w:spacing w:line="54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卫生专业技术人员中级职称实行全国统一考试制度。具备相应专业学历，并符合以下条件的，可报名参加考试：</w:t>
      </w:r>
    </w:p>
    <w:p>
      <w:pPr>
        <w:snapToGrid w:val="0"/>
        <w:spacing w:line="54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临床、口腔、中医类别主治医师：具备博士学位，并取得住院医师规范化培训合格证书；或具备硕士学位，取得住院医师规范化培训合格证书后从事医疗执业活动满2年；或具备大学本科学历或学士学位，取得住院医师规范化培训合格证书后从事医疗执业活动满2年；或具备大学本科学历或学士学位，经执业医师注册后从事医疗执业活动满4年；或具备大专学历，经执业医师注册后从事医疗执业活动满6年；或具备中专学历，经执业医师注册后从事医疗执业活动满7年。</w:t>
      </w:r>
    </w:p>
    <w:p>
      <w:pPr>
        <w:snapToGrid w:val="0"/>
        <w:spacing w:line="54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共卫生类别主管医师：具备博士学位并经执业医师注册后从事公共卫生执业活动；或具备硕士学位，经执业医师注册后从事公共卫生执业活动满2年；或具备大学本科学历或学士学位，经执业医师注册后从事公共卫生执业活动满4年；或具备大专学历，经执业医师注册后从事公共卫生执业活动满6年；或具备中专学历，经执业医师注册后从事公共卫生执业活动满7年。</w:t>
      </w:r>
    </w:p>
    <w:p>
      <w:pPr>
        <w:snapToGrid w:val="0"/>
        <w:spacing w:line="54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主管护师：具备博士学位并注册从事护理执业活动；或具备硕士学位经注册后从事护理执业活动满2年；或具备大学本科学历或学士学位，经注册并取得护师职称后，从事护理执业活动满4年；或具备大专学历，经注册并取得护师职称后，从事护理执业活动满6年；或具备中专学历，经注册并取得护师职称后，从事护理执业活动满7年。</w:t>
      </w:r>
    </w:p>
    <w:p>
      <w:pPr>
        <w:snapToGrid w:val="0"/>
        <w:spacing w:line="54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主管药（技）师：具备博士学位；或具备硕士学位，取得药（技）师职称后，从事本专业工作满2年；或具备大学本科学历或学士学位，取得药（技）师职称后，从事本专业工作满4年；或具备大专学历，取得药（技）师职称后，从事本专业工作满6年；或具备中专学历，取得药（技）师职称后，从事本专业工作满7年。</w:t>
      </w:r>
    </w:p>
    <w:p>
      <w:pPr>
        <w:snapToGrid w:val="0"/>
        <w:spacing w:line="54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凡在北京市社区卫生服务中心（站）工作的医师、护师，可提前一年参加中级卫生专业技术资格的全科医学、社区护理专业类别的考试。本科及以上学历、经全科专业住院医师规范化培训合格并到基层医疗卫生机构工作的，可直接参加全科医学专业中级职称考试。</w:t>
      </w:r>
    </w:p>
    <w:p>
      <w:pPr>
        <w:snapToGrid w:val="0"/>
        <w:spacing w:line="54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对2012年及以后毕业的医学本科及以上学历毕业生，北京地区各级各类医疗卫生机构须将《住院医师规范化培训合格证书》作为本人参加中级临床医学专业技术资格考试的必备条件之一。</w:t>
      </w:r>
    </w:p>
    <w:p>
      <w:pPr>
        <w:snapToGrid w:val="0"/>
        <w:spacing w:line="54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有下列情形之一的，不得申请参加卫生专业技术资格考试：</w:t>
      </w:r>
    </w:p>
    <w:p>
      <w:pPr>
        <w:snapToGrid w:val="0"/>
        <w:spacing w:line="54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（一）医疗事故责任者未满3年；</w:t>
      </w:r>
    </w:p>
    <w:p>
      <w:pPr>
        <w:snapToGrid w:val="0"/>
        <w:spacing w:line="54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（二）医疗差错责任者未满1年；</w:t>
      </w:r>
    </w:p>
    <w:p>
      <w:pPr>
        <w:snapToGrid w:val="0"/>
        <w:spacing w:line="54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（三</w:t>
      </w:r>
      <w:r>
        <w:rPr>
          <w:rFonts w:ascii="仿宋_GB2312" w:hAnsi="仿宋" w:eastAsia="仿宋_GB2312"/>
          <w:sz w:val="32"/>
          <w:szCs w:val="32"/>
        </w:rPr>
        <w:t>）</w:t>
      </w:r>
      <w:r>
        <w:rPr>
          <w:rFonts w:hint="eastAsia" w:ascii="仿宋_GB2312" w:hAnsi="仿宋" w:eastAsia="仿宋_GB2312"/>
          <w:sz w:val="32"/>
          <w:szCs w:val="32"/>
        </w:rPr>
        <w:t>受到行政处分者未满2年；</w:t>
      </w:r>
    </w:p>
    <w:p>
      <w:pPr>
        <w:snapToGrid w:val="0"/>
        <w:spacing w:line="54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（四）伪造学历或考试期间有违纪行为未满2年；</w:t>
      </w:r>
    </w:p>
    <w:p>
      <w:pPr>
        <w:snapToGrid w:val="0"/>
        <w:spacing w:line="540" w:lineRule="exact"/>
        <w:ind w:firstLine="640" w:firstLineChars="200"/>
        <w:rPr>
          <w:rFonts w:hint="eastAsia" w:ascii="仿宋_GB2312" w:hAnsi="仿宋" w:eastAsia="仿宋_GB2312"/>
          <w:b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>（五）市卫生行政部门规定的其他情形。</w:t>
      </w:r>
    </w:p>
    <w:p>
      <w:pPr>
        <w:snapToGrid w:val="0"/>
        <w:spacing w:line="540" w:lineRule="exact"/>
        <w:jc w:val="left"/>
        <w:rPr>
          <w:rFonts w:ascii="黑体" w:hAnsi="黑体" w:eastAsia="黑体" w:cs="仿宋"/>
          <w:bCs/>
          <w:sz w:val="32"/>
          <w:szCs w:val="32"/>
        </w:rPr>
      </w:pPr>
    </w:p>
    <w:p>
      <w:pPr>
        <w:snapToGrid w:val="0"/>
        <w:spacing w:line="540" w:lineRule="exact"/>
        <w:jc w:val="left"/>
        <w:rPr>
          <w:rFonts w:ascii="黑体" w:hAnsi="黑体" w:eastAsia="黑体" w:cs="仿宋"/>
          <w:bCs/>
          <w:sz w:val="32"/>
          <w:szCs w:val="32"/>
        </w:rPr>
      </w:pPr>
    </w:p>
    <w:p>
      <w:pPr>
        <w:snapToGrid w:val="0"/>
        <w:spacing w:line="540" w:lineRule="exact"/>
        <w:jc w:val="left"/>
        <w:rPr>
          <w:rFonts w:ascii="黑体" w:hAnsi="黑体" w:eastAsia="黑体" w:cs="仿宋"/>
          <w:bCs/>
          <w:sz w:val="32"/>
          <w:szCs w:val="32"/>
        </w:rPr>
      </w:pPr>
    </w:p>
    <w:p>
      <w:pPr>
        <w:snapToGrid w:val="0"/>
        <w:spacing w:line="540" w:lineRule="exact"/>
        <w:jc w:val="left"/>
        <w:rPr>
          <w:rFonts w:ascii="黑体" w:hAnsi="黑体" w:eastAsia="黑体" w:cs="仿宋"/>
          <w:bCs/>
          <w:sz w:val="32"/>
          <w:szCs w:val="32"/>
        </w:rPr>
      </w:pPr>
    </w:p>
    <w:p>
      <w:pPr>
        <w:snapToGrid w:val="0"/>
        <w:spacing w:line="540" w:lineRule="exact"/>
        <w:jc w:val="left"/>
        <w:rPr>
          <w:rFonts w:ascii="黑体" w:hAnsi="黑体" w:eastAsia="黑体" w:cs="仿宋"/>
          <w:bCs/>
          <w:sz w:val="32"/>
          <w:szCs w:val="32"/>
        </w:rPr>
      </w:pPr>
    </w:p>
    <w:p>
      <w:pPr>
        <w:snapToGrid w:val="0"/>
        <w:spacing w:line="540" w:lineRule="exact"/>
        <w:jc w:val="left"/>
        <w:rPr>
          <w:rFonts w:ascii="黑体" w:hAnsi="黑体" w:eastAsia="黑体" w:cs="仿宋"/>
          <w:bCs/>
          <w:sz w:val="32"/>
          <w:szCs w:val="32"/>
        </w:rPr>
      </w:pPr>
    </w:p>
    <w:p>
      <w:pPr>
        <w:snapToGrid w:val="0"/>
        <w:spacing w:line="540" w:lineRule="exact"/>
        <w:jc w:val="left"/>
        <w:rPr>
          <w:rFonts w:ascii="黑体" w:hAnsi="黑体" w:eastAsia="黑体" w:cs="仿宋"/>
          <w:bCs/>
          <w:sz w:val="32"/>
          <w:szCs w:val="32"/>
        </w:rPr>
      </w:pPr>
    </w:p>
    <w:p>
      <w:pPr>
        <w:snapToGrid w:val="0"/>
        <w:spacing w:line="540" w:lineRule="exact"/>
        <w:jc w:val="left"/>
        <w:rPr>
          <w:rFonts w:ascii="黑体" w:hAnsi="黑体" w:eastAsia="黑体" w:cs="仿宋"/>
          <w:bCs/>
          <w:sz w:val="32"/>
          <w:szCs w:val="32"/>
        </w:rPr>
      </w:pPr>
    </w:p>
    <w:p>
      <w:pPr>
        <w:snapToGrid w:val="0"/>
        <w:spacing w:line="540" w:lineRule="exact"/>
        <w:jc w:val="left"/>
        <w:rPr>
          <w:rFonts w:ascii="黑体" w:hAnsi="黑体" w:eastAsia="黑体" w:cs="仿宋"/>
          <w:bCs/>
          <w:sz w:val="32"/>
          <w:szCs w:val="32"/>
        </w:rPr>
      </w:pPr>
    </w:p>
    <w:p>
      <w:pPr>
        <w:snapToGrid w:val="0"/>
        <w:spacing w:line="540" w:lineRule="exact"/>
        <w:jc w:val="left"/>
        <w:rPr>
          <w:rFonts w:ascii="黑体" w:hAnsi="黑体" w:eastAsia="黑体" w:cs="仿宋"/>
          <w:bCs/>
          <w:sz w:val="32"/>
          <w:szCs w:val="32"/>
        </w:rPr>
      </w:pPr>
    </w:p>
    <w:p>
      <w:pPr>
        <w:snapToGrid w:val="0"/>
        <w:spacing w:line="540" w:lineRule="exact"/>
        <w:jc w:val="left"/>
        <w:rPr>
          <w:rFonts w:ascii="黑体" w:hAnsi="黑体" w:eastAsia="黑体" w:cs="仿宋"/>
          <w:bCs/>
          <w:sz w:val="32"/>
          <w:szCs w:val="32"/>
        </w:rPr>
      </w:pPr>
    </w:p>
    <w:p>
      <w:pPr>
        <w:snapToGrid w:val="0"/>
        <w:spacing w:line="540" w:lineRule="exact"/>
        <w:jc w:val="left"/>
        <w:rPr>
          <w:rFonts w:ascii="黑体" w:hAnsi="黑体" w:eastAsia="黑体" w:cs="仿宋"/>
          <w:bCs/>
          <w:sz w:val="32"/>
          <w:szCs w:val="32"/>
        </w:rPr>
      </w:pPr>
    </w:p>
    <w:p>
      <w:pPr>
        <w:snapToGrid w:val="0"/>
        <w:spacing w:line="540" w:lineRule="exact"/>
        <w:jc w:val="left"/>
        <w:rPr>
          <w:rFonts w:ascii="黑体" w:hAnsi="黑体" w:eastAsia="黑体" w:cs="仿宋"/>
          <w:bCs/>
          <w:sz w:val="32"/>
          <w:szCs w:val="32"/>
        </w:rPr>
      </w:pPr>
    </w:p>
    <w:p>
      <w:pPr>
        <w:snapToGrid w:val="0"/>
        <w:spacing w:line="540" w:lineRule="exact"/>
        <w:jc w:val="left"/>
        <w:rPr>
          <w:rFonts w:ascii="黑体" w:hAnsi="黑体" w:eastAsia="黑体" w:cs="仿宋"/>
          <w:bCs/>
          <w:sz w:val="32"/>
          <w:szCs w:val="32"/>
        </w:rPr>
      </w:pPr>
    </w:p>
    <w:p>
      <w:pPr>
        <w:snapToGrid w:val="0"/>
        <w:spacing w:line="540" w:lineRule="exact"/>
        <w:jc w:val="left"/>
        <w:rPr>
          <w:rFonts w:ascii="黑体" w:hAnsi="黑体" w:eastAsia="黑体" w:cs="仿宋"/>
          <w:bCs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仿宋_GB2312">
    <w:altName w:val="方正仿宋_GBK"/>
    <w:panose1 w:val="02010609030101010101"/>
    <w:charset w:val="00"/>
    <w:family w:val="modern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00"/>
    <w:family w:val="modern"/>
    <w:pitch w:val="default"/>
    <w:sig w:usb0="00000000" w:usb1="00000000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华文中宋">
    <w:altName w:val="汉仪中宋简"/>
    <w:panose1 w:val="02010600040101010101"/>
    <w:charset w:val="00"/>
    <w:family w:val="auto"/>
    <w:pitch w:val="default"/>
    <w:sig w:usb0="00000000" w:usb1="00000000" w:usb2="00000010" w:usb3="00000000" w:csb0="0004009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FFF0DB5"/>
    <w:rsid w:val="EFFF0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Office_11.8.2.9849_F1E327BC-269C-435d-A152-05C5408002CA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2021-12-22T09:14:00Z</dcterms:created>
  <dc:creator>rsj</dc:creator>
  <cp:lastModifiedBy>rsj</cp:lastModifiedBy>
  <dcterms:modified xsi:type="dcterms:W3CDTF">2021-12-22T09:14:44Z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2052-11.8.2.9849</vt:lpwstr>
  </property>
</Properties>
</file>