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24"/>
          <w:szCs w:val="24"/>
        </w:rPr>
      </w:pPr>
      <w:r>
        <w:rPr>
          <w:rFonts w:hint="eastAsia" w:ascii="宋体" w:hAnsi="宋体"/>
          <w:b/>
          <w:sz w:val="24"/>
          <w:szCs w:val="24"/>
        </w:rPr>
        <w:t>2021年临床执业</w:t>
      </w:r>
      <w:r>
        <w:rPr>
          <w:rFonts w:hint="eastAsia" w:ascii="宋体" w:hAnsi="宋体"/>
          <w:b/>
          <w:sz w:val="24"/>
          <w:szCs w:val="24"/>
          <w:lang w:val="en-US" w:eastAsia="zh-CN"/>
        </w:rPr>
        <w:t>助理</w:t>
      </w:r>
      <w:bookmarkStart w:id="0" w:name="_GoBack"/>
      <w:bookmarkEnd w:id="0"/>
      <w:r>
        <w:rPr>
          <w:rFonts w:hint="eastAsia" w:ascii="宋体" w:hAnsi="宋体"/>
          <w:b/>
          <w:sz w:val="24"/>
          <w:szCs w:val="24"/>
        </w:rPr>
        <w:t>医师《卫生法规》考试大纲</w:t>
      </w:r>
    </w:p>
    <w:tbl>
      <w:tblPr>
        <w:tblStyle w:val="5"/>
        <w:tblW w:w="8670" w:type="dxa"/>
        <w:tblInd w:w="93" w:type="dxa"/>
        <w:tblLayout w:type="fixed"/>
        <w:tblCellMar>
          <w:top w:w="0" w:type="dxa"/>
          <w:left w:w="108" w:type="dxa"/>
          <w:bottom w:w="0" w:type="dxa"/>
          <w:right w:w="108" w:type="dxa"/>
        </w:tblCellMar>
      </w:tblPr>
      <w:tblGrid>
        <w:gridCol w:w="2915"/>
        <w:gridCol w:w="2156"/>
        <w:gridCol w:w="3599"/>
      </w:tblGrid>
      <w:tr>
        <w:tblPrEx>
          <w:tblCellMar>
            <w:top w:w="0" w:type="dxa"/>
            <w:left w:w="108" w:type="dxa"/>
            <w:bottom w:w="0" w:type="dxa"/>
            <w:right w:w="108" w:type="dxa"/>
          </w:tblCellMar>
        </w:tblPrEx>
        <w:trPr>
          <w:trHeight w:val="720" w:hRule="atLeast"/>
        </w:trPr>
        <w:tc>
          <w:tcPr>
            <w:tcW w:w="2915"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jc w:val="center"/>
              <w:rPr>
                <w:rFonts w:ascii="宋体" w:hAnsi="宋体" w:cs="宋体"/>
                <w:sz w:val="24"/>
                <w:szCs w:val="24"/>
              </w:rPr>
            </w:pPr>
            <w:r>
              <w:rPr>
                <w:rFonts w:hint="eastAsia" w:ascii="宋体" w:hAnsi="宋体"/>
                <w:sz w:val="24"/>
                <w:szCs w:val="24"/>
              </w:rPr>
              <w:t>一、卫生法基础知识</w:t>
            </w:r>
          </w:p>
        </w:tc>
        <w:tc>
          <w:tcPr>
            <w:tcW w:w="2156" w:type="dxa"/>
            <w:tcBorders>
              <w:top w:val="single" w:color="auto" w:sz="4" w:space="0"/>
              <w:left w:val="nil"/>
              <w:bottom w:val="single" w:color="auto" w:sz="4" w:space="0"/>
              <w:right w:val="single" w:color="auto" w:sz="4" w:space="0"/>
            </w:tcBorders>
            <w:shd w:val="clear" w:color="auto" w:fill="auto"/>
            <w:noWrap/>
            <w:vAlign w:val="center"/>
          </w:tcPr>
          <w:p>
            <w:pPr>
              <w:rPr>
                <w:rFonts w:ascii="宋体" w:hAnsi="宋体" w:cs="宋体"/>
                <w:sz w:val="24"/>
                <w:szCs w:val="24"/>
              </w:rPr>
            </w:pPr>
            <w:r>
              <w:rPr>
                <w:rFonts w:hint="eastAsia" w:ascii="宋体" w:hAnsi="宋体"/>
                <w:sz w:val="24"/>
                <w:szCs w:val="24"/>
              </w:rPr>
              <w:t>1.卫生法的概念、分类和作用</w:t>
            </w:r>
          </w:p>
        </w:tc>
        <w:tc>
          <w:tcPr>
            <w:tcW w:w="3599"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sz w:val="24"/>
                <w:szCs w:val="24"/>
              </w:rPr>
            </w:pPr>
            <w:r>
              <w:rPr>
                <w:rFonts w:hint="eastAsia" w:ascii="宋体" w:hAnsi="宋体"/>
                <w:sz w:val="24"/>
                <w:szCs w:val="24"/>
              </w:rPr>
              <w:t>（1）卫生法的概念</w:t>
            </w:r>
          </w:p>
          <w:p>
            <w:pPr>
              <w:rPr>
                <w:rFonts w:ascii="宋体" w:hAnsi="宋体"/>
                <w:sz w:val="24"/>
                <w:szCs w:val="24"/>
              </w:rPr>
            </w:pPr>
            <w:r>
              <w:rPr>
                <w:rFonts w:hint="eastAsia" w:ascii="宋体" w:hAnsi="宋体"/>
                <w:sz w:val="24"/>
                <w:szCs w:val="24"/>
              </w:rPr>
              <w:t>（2）卫生法的分类</w:t>
            </w:r>
          </w:p>
          <w:p>
            <w:pPr>
              <w:rPr>
                <w:rFonts w:ascii="宋体" w:hAnsi="宋体" w:cs="宋体"/>
                <w:sz w:val="24"/>
                <w:szCs w:val="24"/>
              </w:rPr>
            </w:pPr>
            <w:r>
              <w:rPr>
                <w:rFonts w:hint="eastAsia" w:ascii="宋体" w:hAnsi="宋体"/>
                <w:sz w:val="24"/>
                <w:szCs w:val="24"/>
              </w:rPr>
              <w:t>（3）卫生法的作用</w:t>
            </w:r>
          </w:p>
        </w:tc>
      </w:tr>
      <w:tr>
        <w:tblPrEx>
          <w:tblCellMar>
            <w:top w:w="0" w:type="dxa"/>
            <w:left w:w="108" w:type="dxa"/>
            <w:bottom w:w="0" w:type="dxa"/>
            <w:right w:w="108" w:type="dxa"/>
          </w:tblCellMar>
        </w:tblPrEx>
        <w:trPr>
          <w:trHeight w:val="1485" w:hRule="atLeast"/>
        </w:trPr>
        <w:tc>
          <w:tcPr>
            <w:tcW w:w="2915"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sz w:val="24"/>
                <w:szCs w:val="24"/>
              </w:rPr>
            </w:pPr>
          </w:p>
        </w:tc>
        <w:tc>
          <w:tcPr>
            <w:tcW w:w="2156" w:type="dxa"/>
            <w:tcBorders>
              <w:top w:val="nil"/>
              <w:left w:val="nil"/>
              <w:bottom w:val="single" w:color="auto" w:sz="4" w:space="0"/>
              <w:right w:val="single" w:color="auto" w:sz="4" w:space="0"/>
            </w:tcBorders>
            <w:shd w:val="clear" w:color="auto" w:fill="auto"/>
            <w:noWrap/>
            <w:vAlign w:val="center"/>
          </w:tcPr>
          <w:p>
            <w:pPr>
              <w:rPr>
                <w:rFonts w:ascii="宋体" w:hAnsi="宋体" w:cs="宋体"/>
                <w:sz w:val="24"/>
                <w:szCs w:val="24"/>
              </w:rPr>
            </w:pPr>
            <w:r>
              <w:rPr>
                <w:rFonts w:hint="eastAsia" w:ascii="宋体" w:hAnsi="宋体"/>
                <w:sz w:val="24"/>
                <w:szCs w:val="24"/>
              </w:rPr>
              <w:t>2.卫生法的形式、效力和解释</w:t>
            </w:r>
          </w:p>
        </w:tc>
        <w:tc>
          <w:tcPr>
            <w:tcW w:w="3599" w:type="dxa"/>
            <w:tcBorders>
              <w:top w:val="nil"/>
              <w:left w:val="nil"/>
              <w:bottom w:val="single" w:color="auto" w:sz="4" w:space="0"/>
              <w:right w:val="single" w:color="auto" w:sz="4" w:space="0"/>
            </w:tcBorders>
            <w:shd w:val="clear" w:color="auto" w:fill="auto"/>
            <w:vAlign w:val="center"/>
          </w:tcPr>
          <w:p>
            <w:pPr>
              <w:rPr>
                <w:rFonts w:ascii="宋体" w:hAnsi="宋体"/>
                <w:sz w:val="24"/>
                <w:szCs w:val="24"/>
              </w:rPr>
            </w:pPr>
            <w:r>
              <w:rPr>
                <w:rFonts w:hint="eastAsia" w:ascii="宋体" w:hAnsi="宋体"/>
                <w:sz w:val="24"/>
                <w:szCs w:val="24"/>
              </w:rPr>
              <w:t>（1）卫生法的形式</w:t>
            </w:r>
          </w:p>
          <w:p>
            <w:pPr>
              <w:rPr>
                <w:rFonts w:ascii="宋体" w:hAnsi="宋体"/>
                <w:sz w:val="24"/>
                <w:szCs w:val="24"/>
              </w:rPr>
            </w:pPr>
            <w:r>
              <w:rPr>
                <w:rFonts w:hint="eastAsia" w:ascii="宋体" w:hAnsi="宋体"/>
                <w:sz w:val="24"/>
                <w:szCs w:val="24"/>
              </w:rPr>
              <w:t>（2）卫生法的效力</w:t>
            </w:r>
          </w:p>
          <w:p>
            <w:pPr>
              <w:rPr>
                <w:rFonts w:ascii="宋体" w:hAnsi="宋体" w:cs="宋体"/>
                <w:sz w:val="24"/>
                <w:szCs w:val="24"/>
              </w:rPr>
            </w:pPr>
            <w:r>
              <w:rPr>
                <w:rFonts w:hint="eastAsia" w:ascii="宋体" w:hAnsi="宋体"/>
                <w:sz w:val="24"/>
                <w:szCs w:val="24"/>
              </w:rPr>
              <w:t>（3）卫生法的解释</w:t>
            </w:r>
          </w:p>
        </w:tc>
      </w:tr>
      <w:tr>
        <w:tblPrEx>
          <w:tblCellMar>
            <w:top w:w="0" w:type="dxa"/>
            <w:left w:w="108" w:type="dxa"/>
            <w:bottom w:w="0" w:type="dxa"/>
            <w:right w:w="108" w:type="dxa"/>
          </w:tblCellMar>
        </w:tblPrEx>
        <w:trPr>
          <w:trHeight w:val="1750" w:hRule="atLeast"/>
        </w:trPr>
        <w:tc>
          <w:tcPr>
            <w:tcW w:w="2915" w:type="dxa"/>
            <w:vMerge w:val="continue"/>
            <w:tcBorders>
              <w:top w:val="single" w:color="auto" w:sz="4" w:space="0"/>
              <w:left w:val="single" w:color="auto" w:sz="4" w:space="0"/>
              <w:bottom w:val="single" w:color="000000" w:sz="4" w:space="0"/>
              <w:right w:val="single" w:color="auto" w:sz="4" w:space="0"/>
            </w:tcBorders>
            <w:vAlign w:val="center"/>
          </w:tcPr>
          <w:p>
            <w:pPr>
              <w:rPr>
                <w:rFonts w:ascii="宋体" w:hAnsi="宋体" w:cs="宋体"/>
                <w:sz w:val="24"/>
                <w:szCs w:val="24"/>
              </w:rPr>
            </w:pPr>
          </w:p>
        </w:tc>
        <w:tc>
          <w:tcPr>
            <w:tcW w:w="2156" w:type="dxa"/>
            <w:tcBorders>
              <w:top w:val="nil"/>
              <w:left w:val="nil"/>
              <w:bottom w:val="single" w:color="auto" w:sz="4" w:space="0"/>
              <w:right w:val="single" w:color="auto" w:sz="4" w:space="0"/>
            </w:tcBorders>
            <w:shd w:val="clear" w:color="auto" w:fill="auto"/>
            <w:noWrap/>
            <w:vAlign w:val="center"/>
          </w:tcPr>
          <w:p>
            <w:pPr>
              <w:rPr>
                <w:rFonts w:ascii="宋体" w:hAnsi="宋体" w:cs="宋体"/>
                <w:sz w:val="24"/>
                <w:szCs w:val="24"/>
              </w:rPr>
            </w:pPr>
            <w:r>
              <w:rPr>
                <w:rFonts w:hint="eastAsia" w:ascii="宋体" w:hAnsi="宋体"/>
                <w:sz w:val="24"/>
                <w:szCs w:val="24"/>
              </w:rPr>
              <w:t>3.卫生法的守法、执法和司法</w:t>
            </w:r>
          </w:p>
        </w:tc>
        <w:tc>
          <w:tcPr>
            <w:tcW w:w="3599" w:type="dxa"/>
            <w:tcBorders>
              <w:top w:val="nil"/>
              <w:left w:val="nil"/>
              <w:bottom w:val="single" w:color="auto" w:sz="4" w:space="0"/>
              <w:right w:val="single" w:color="auto" w:sz="4" w:space="0"/>
            </w:tcBorders>
            <w:shd w:val="clear" w:color="auto" w:fill="auto"/>
            <w:vAlign w:val="center"/>
          </w:tcPr>
          <w:p>
            <w:pPr>
              <w:rPr>
                <w:rFonts w:ascii="宋体" w:hAnsi="宋体"/>
                <w:sz w:val="24"/>
                <w:szCs w:val="24"/>
              </w:rPr>
            </w:pPr>
            <w:r>
              <w:rPr>
                <w:rFonts w:hint="eastAsia" w:ascii="宋体" w:hAnsi="宋体"/>
                <w:sz w:val="24"/>
                <w:szCs w:val="24"/>
              </w:rPr>
              <w:t>（1）卫生法的守法</w:t>
            </w:r>
          </w:p>
          <w:p>
            <w:pPr>
              <w:rPr>
                <w:rFonts w:ascii="宋体" w:hAnsi="宋体"/>
                <w:sz w:val="24"/>
                <w:szCs w:val="24"/>
              </w:rPr>
            </w:pPr>
            <w:r>
              <w:rPr>
                <w:rFonts w:hint="eastAsia" w:ascii="宋体" w:hAnsi="宋体"/>
                <w:sz w:val="24"/>
                <w:szCs w:val="24"/>
              </w:rPr>
              <w:t>（2）卫生法的执法</w:t>
            </w:r>
          </w:p>
          <w:p>
            <w:pPr>
              <w:rPr>
                <w:rFonts w:ascii="宋体" w:hAnsi="宋体" w:cs="宋体"/>
                <w:sz w:val="24"/>
                <w:szCs w:val="24"/>
              </w:rPr>
            </w:pPr>
            <w:r>
              <w:rPr>
                <w:rFonts w:hint="eastAsia" w:ascii="宋体" w:hAnsi="宋体"/>
                <w:sz w:val="24"/>
                <w:szCs w:val="24"/>
              </w:rPr>
              <w:t>（3）卫生法的司法</w:t>
            </w:r>
          </w:p>
        </w:tc>
      </w:tr>
      <w:tr>
        <w:tblPrEx>
          <w:tblCellMar>
            <w:top w:w="0" w:type="dxa"/>
            <w:left w:w="108" w:type="dxa"/>
            <w:bottom w:w="0" w:type="dxa"/>
            <w:right w:w="108" w:type="dxa"/>
          </w:tblCellMar>
        </w:tblPrEx>
        <w:trPr>
          <w:trHeight w:val="1534" w:hRule="atLeast"/>
        </w:trPr>
        <w:tc>
          <w:tcPr>
            <w:tcW w:w="2915" w:type="dxa"/>
            <w:vMerge w:val="restart"/>
            <w:tcBorders>
              <w:top w:val="single" w:color="000000" w:sz="4" w:space="0"/>
              <w:left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二、基本医疗卫生与健康促进法</w:t>
            </w:r>
          </w:p>
        </w:tc>
        <w:tc>
          <w:tcPr>
            <w:tcW w:w="21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1.概述</w:t>
            </w:r>
          </w:p>
        </w:tc>
        <w:tc>
          <w:tcPr>
            <w:tcW w:w="3599" w:type="dxa"/>
            <w:tcBorders>
              <w:top w:val="single" w:color="000000" w:sz="4" w:space="0"/>
              <w:left w:val="nil"/>
              <w:bottom w:val="nil"/>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（1）医疗卫生事业的原则</w:t>
            </w:r>
          </w:p>
          <w:p>
            <w:pPr>
              <w:rPr>
                <w:rFonts w:ascii="宋体" w:hAnsi="宋体"/>
                <w:color w:val="FF0000"/>
                <w:sz w:val="24"/>
                <w:szCs w:val="24"/>
              </w:rPr>
            </w:pPr>
            <w:r>
              <w:rPr>
                <w:rFonts w:hint="eastAsia" w:ascii="宋体" w:hAnsi="宋体"/>
                <w:color w:val="FF0000"/>
                <w:sz w:val="24"/>
                <w:szCs w:val="24"/>
              </w:rPr>
              <w:t>（2）尊重、保护公民的健康权</w:t>
            </w:r>
          </w:p>
        </w:tc>
      </w:tr>
      <w:tr>
        <w:tblPrEx>
          <w:tblCellMar>
            <w:top w:w="0" w:type="dxa"/>
            <w:left w:w="108" w:type="dxa"/>
            <w:bottom w:w="0" w:type="dxa"/>
            <w:right w:w="108" w:type="dxa"/>
          </w:tblCellMar>
        </w:tblPrEx>
        <w:trPr>
          <w:trHeight w:val="1117" w:hRule="atLeast"/>
        </w:trPr>
        <w:tc>
          <w:tcPr>
            <w:tcW w:w="2915" w:type="dxa"/>
            <w:vMerge w:val="continue"/>
            <w:tcBorders>
              <w:left w:val="single" w:color="000000" w:sz="4" w:space="0"/>
              <w:right w:val="single" w:color="000000" w:sz="4" w:space="0"/>
            </w:tcBorders>
            <w:shd w:val="clear" w:color="auto" w:fill="auto"/>
            <w:vAlign w:val="center"/>
          </w:tcPr>
          <w:p>
            <w:pPr>
              <w:rPr>
                <w:rFonts w:ascii="宋体" w:hAnsi="宋体"/>
                <w:color w:val="FF0000"/>
                <w:sz w:val="24"/>
                <w:szCs w:val="24"/>
              </w:rPr>
            </w:pPr>
          </w:p>
        </w:tc>
        <w:tc>
          <w:tcPr>
            <w:tcW w:w="21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2.基本医疗卫生服务</w:t>
            </w:r>
          </w:p>
        </w:tc>
        <w:tc>
          <w:tcPr>
            <w:tcW w:w="3599" w:type="dxa"/>
            <w:tcBorders>
              <w:top w:val="single" w:color="000000" w:sz="4" w:space="0"/>
              <w:left w:val="nil"/>
              <w:bottom w:val="nil"/>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（1）基本医疗服务的内容</w:t>
            </w:r>
          </w:p>
          <w:p>
            <w:pPr>
              <w:rPr>
                <w:rFonts w:ascii="宋体" w:hAnsi="宋体"/>
                <w:color w:val="FF0000"/>
                <w:sz w:val="24"/>
                <w:szCs w:val="24"/>
              </w:rPr>
            </w:pPr>
            <w:r>
              <w:rPr>
                <w:rFonts w:hint="eastAsia" w:ascii="宋体" w:hAnsi="宋体"/>
                <w:color w:val="FF0000"/>
                <w:sz w:val="24"/>
                <w:szCs w:val="24"/>
              </w:rPr>
              <w:t>（2）基本医疗服务分级诊疗制度</w:t>
            </w:r>
          </w:p>
        </w:tc>
      </w:tr>
      <w:tr>
        <w:tblPrEx>
          <w:tblCellMar>
            <w:top w:w="0" w:type="dxa"/>
            <w:left w:w="108" w:type="dxa"/>
            <w:bottom w:w="0" w:type="dxa"/>
            <w:right w:w="108" w:type="dxa"/>
          </w:tblCellMar>
        </w:tblPrEx>
        <w:trPr>
          <w:trHeight w:val="1055" w:hRule="atLeast"/>
        </w:trPr>
        <w:tc>
          <w:tcPr>
            <w:tcW w:w="2915" w:type="dxa"/>
            <w:vMerge w:val="continue"/>
            <w:tcBorders>
              <w:left w:val="single" w:color="000000" w:sz="4" w:space="0"/>
              <w:right w:val="single" w:color="000000" w:sz="4" w:space="0"/>
            </w:tcBorders>
            <w:shd w:val="clear" w:color="auto" w:fill="auto"/>
            <w:vAlign w:val="center"/>
          </w:tcPr>
          <w:p>
            <w:pPr>
              <w:rPr>
                <w:rFonts w:ascii="宋体" w:hAnsi="宋体"/>
                <w:color w:val="FF0000"/>
                <w:sz w:val="24"/>
                <w:szCs w:val="24"/>
              </w:rPr>
            </w:pPr>
          </w:p>
        </w:tc>
        <w:tc>
          <w:tcPr>
            <w:tcW w:w="21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3.医疗卫生机构</w:t>
            </w:r>
          </w:p>
        </w:tc>
        <w:tc>
          <w:tcPr>
            <w:tcW w:w="3599" w:type="dxa"/>
            <w:tcBorders>
              <w:top w:val="single" w:color="000000" w:sz="4" w:space="0"/>
              <w:left w:val="nil"/>
              <w:bottom w:val="nil"/>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（1）医疗卫生服务体系</w:t>
            </w:r>
          </w:p>
          <w:p>
            <w:pPr>
              <w:rPr>
                <w:rFonts w:ascii="宋体" w:hAnsi="宋体"/>
                <w:color w:val="FF0000"/>
                <w:sz w:val="24"/>
                <w:szCs w:val="24"/>
              </w:rPr>
            </w:pPr>
            <w:r>
              <w:rPr>
                <w:rFonts w:hint="eastAsia" w:ascii="宋体" w:hAnsi="宋体"/>
                <w:color w:val="FF0000"/>
                <w:sz w:val="24"/>
                <w:szCs w:val="24"/>
              </w:rPr>
              <w:t>（2）医疗卫生机构分类管理</w:t>
            </w:r>
          </w:p>
        </w:tc>
      </w:tr>
      <w:tr>
        <w:tblPrEx>
          <w:tblCellMar>
            <w:top w:w="0" w:type="dxa"/>
            <w:left w:w="108" w:type="dxa"/>
            <w:bottom w:w="0" w:type="dxa"/>
            <w:right w:w="108" w:type="dxa"/>
          </w:tblCellMar>
        </w:tblPrEx>
        <w:trPr>
          <w:trHeight w:val="1135" w:hRule="atLeast"/>
        </w:trPr>
        <w:tc>
          <w:tcPr>
            <w:tcW w:w="2915" w:type="dxa"/>
            <w:vMerge w:val="continue"/>
            <w:tcBorders>
              <w:left w:val="single" w:color="000000" w:sz="4" w:space="0"/>
              <w:right w:val="single" w:color="000000" w:sz="4" w:space="0"/>
            </w:tcBorders>
            <w:shd w:val="clear" w:color="auto" w:fill="auto"/>
            <w:vAlign w:val="center"/>
          </w:tcPr>
          <w:p>
            <w:pPr>
              <w:rPr>
                <w:rFonts w:ascii="宋体" w:hAnsi="宋体"/>
                <w:color w:val="FF0000"/>
                <w:sz w:val="24"/>
                <w:szCs w:val="24"/>
              </w:rPr>
            </w:pPr>
          </w:p>
        </w:tc>
        <w:tc>
          <w:tcPr>
            <w:tcW w:w="21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4.医疗卫生人员</w:t>
            </w:r>
          </w:p>
        </w:tc>
        <w:tc>
          <w:tcPr>
            <w:tcW w:w="3599" w:type="dxa"/>
            <w:tcBorders>
              <w:top w:val="single" w:color="000000" w:sz="4" w:space="0"/>
              <w:left w:val="nil"/>
              <w:bottom w:val="nil"/>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（1）提高专业水平和服务质量</w:t>
            </w:r>
          </w:p>
          <w:p>
            <w:pPr>
              <w:rPr>
                <w:rFonts w:ascii="宋体" w:hAnsi="宋体"/>
                <w:color w:val="FF0000"/>
                <w:sz w:val="24"/>
                <w:szCs w:val="24"/>
              </w:rPr>
            </w:pPr>
            <w:r>
              <w:rPr>
                <w:rFonts w:hint="eastAsia" w:ascii="宋体" w:hAnsi="宋体"/>
                <w:color w:val="FF0000"/>
                <w:sz w:val="24"/>
                <w:szCs w:val="24"/>
              </w:rPr>
              <w:t>（2）保障医疗卫生人员执业环境</w:t>
            </w:r>
          </w:p>
        </w:tc>
      </w:tr>
      <w:tr>
        <w:tblPrEx>
          <w:tblCellMar>
            <w:top w:w="0" w:type="dxa"/>
            <w:left w:w="108" w:type="dxa"/>
            <w:bottom w:w="0" w:type="dxa"/>
            <w:right w:w="108" w:type="dxa"/>
          </w:tblCellMar>
        </w:tblPrEx>
        <w:trPr>
          <w:trHeight w:val="791" w:hRule="atLeast"/>
        </w:trPr>
        <w:tc>
          <w:tcPr>
            <w:tcW w:w="2915" w:type="dxa"/>
            <w:vMerge w:val="continue"/>
            <w:tcBorders>
              <w:left w:val="single" w:color="000000" w:sz="4" w:space="0"/>
              <w:bottom w:val="single" w:color="000000" w:sz="4" w:space="0"/>
              <w:right w:val="single" w:color="000000" w:sz="4" w:space="0"/>
            </w:tcBorders>
            <w:shd w:val="clear" w:color="auto" w:fill="auto"/>
            <w:vAlign w:val="center"/>
          </w:tcPr>
          <w:p>
            <w:pPr>
              <w:rPr>
                <w:rFonts w:ascii="宋体" w:hAnsi="宋体"/>
                <w:color w:val="FF0000"/>
                <w:sz w:val="24"/>
                <w:szCs w:val="24"/>
              </w:rPr>
            </w:pPr>
          </w:p>
        </w:tc>
        <w:tc>
          <w:tcPr>
            <w:tcW w:w="21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5.健康促进</w:t>
            </w:r>
          </w:p>
        </w:tc>
        <w:tc>
          <w:tcPr>
            <w:tcW w:w="3599" w:type="dxa"/>
            <w:tcBorders>
              <w:top w:val="single" w:color="000000" w:sz="4" w:space="0"/>
              <w:left w:val="nil"/>
              <w:bottom w:val="nil"/>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健康知识宣传和普及</w:t>
            </w:r>
          </w:p>
        </w:tc>
      </w:tr>
      <w:tr>
        <w:tblPrEx>
          <w:tblCellMar>
            <w:top w:w="0" w:type="dxa"/>
            <w:left w:w="108" w:type="dxa"/>
            <w:bottom w:w="0" w:type="dxa"/>
            <w:right w:w="108" w:type="dxa"/>
          </w:tblCellMar>
        </w:tblPrEx>
        <w:trPr>
          <w:trHeight w:val="285" w:hRule="atLeast"/>
        </w:trPr>
        <w:tc>
          <w:tcPr>
            <w:tcW w:w="2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color w:val="FF0000"/>
                <w:sz w:val="24"/>
                <w:szCs w:val="24"/>
              </w:rPr>
              <w:t>三</w:t>
            </w:r>
            <w:r>
              <w:rPr>
                <w:rFonts w:hint="eastAsia" w:ascii="宋体" w:hAnsi="宋体"/>
                <w:sz w:val="24"/>
                <w:szCs w:val="24"/>
              </w:rPr>
              <w:t>、传染病防治法</w:t>
            </w:r>
          </w:p>
        </w:tc>
        <w:tc>
          <w:tcPr>
            <w:tcW w:w="21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single" w:color="000000" w:sz="4" w:space="0"/>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（1）传染病防治方针和原则</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（2）传染病的分类</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（3）甲类传染病预防控制措施的适用范围</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2.传染病预防</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（1）预防接种</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（2）传染病监测</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（3）传染病预警制度</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（4）传染病菌种、毒种管理</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（5）疾病预防控制机构的职责</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（6）医疗机构的职责</w:t>
            </w:r>
          </w:p>
        </w:tc>
      </w:tr>
      <w:tr>
        <w:tblPrEx>
          <w:tblCellMar>
            <w:top w:w="0" w:type="dxa"/>
            <w:left w:w="108" w:type="dxa"/>
            <w:bottom w:w="0" w:type="dxa"/>
            <w:right w:w="108" w:type="dxa"/>
          </w:tblCellMar>
        </w:tblPrEx>
        <w:trPr>
          <w:trHeight w:val="570"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（7）传染病病人、病原携带者和疑似传染病病人合法权益保护</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3.疫情报告、通报和公布</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（1）传染病疫情的报告</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（2）传染病疫情的通报</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（3）传染病疫情信息的公布</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4.疫情控制</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（1）控制措施</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（2）紧急措施</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（3）疫区封锁</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5.医疗救治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（1）预防医院感染的要求</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（2）开展医疗救治的要求</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（1）疾病预防控制机构的法律责任</w:t>
            </w:r>
          </w:p>
        </w:tc>
      </w:tr>
      <w:tr>
        <w:tblPrEx>
          <w:tblCellMar>
            <w:top w:w="0" w:type="dxa"/>
            <w:left w:w="108" w:type="dxa"/>
            <w:bottom w:w="0" w:type="dxa"/>
            <w:right w:w="108" w:type="dxa"/>
          </w:tblCellMar>
        </w:tblPrEx>
        <w:trPr>
          <w:trHeight w:val="285" w:hRule="atLeast"/>
        </w:trPr>
        <w:tc>
          <w:tcPr>
            <w:tcW w:w="2915"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（2）医疗机构的法律责任</w:t>
            </w:r>
          </w:p>
        </w:tc>
      </w:tr>
      <w:tr>
        <w:tblPrEx>
          <w:tblCellMar>
            <w:top w:w="0" w:type="dxa"/>
            <w:left w:w="108" w:type="dxa"/>
            <w:bottom w:w="0" w:type="dxa"/>
            <w:right w:w="108" w:type="dxa"/>
          </w:tblCellMar>
        </w:tblPrEx>
        <w:trPr>
          <w:trHeight w:val="270" w:hRule="atLeast"/>
        </w:trPr>
        <w:tc>
          <w:tcPr>
            <w:tcW w:w="2915" w:type="dxa"/>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4"/>
                <w:szCs w:val="24"/>
              </w:rPr>
            </w:pPr>
            <w:r>
              <w:rPr>
                <w:rFonts w:hint="eastAsia" w:ascii="宋体" w:hAnsi="宋体"/>
                <w:color w:val="FF0000"/>
                <w:sz w:val="24"/>
                <w:szCs w:val="24"/>
              </w:rPr>
              <w:t>四</w:t>
            </w:r>
            <w:r>
              <w:rPr>
                <w:rFonts w:hint="eastAsia" w:ascii="宋体" w:hAnsi="宋体"/>
                <w:sz w:val="24"/>
                <w:szCs w:val="24"/>
              </w:rPr>
              <w:t>、职业病防治法</w:t>
            </w:r>
          </w:p>
        </w:tc>
        <w:tc>
          <w:tcPr>
            <w:tcW w:w="2156" w:type="dxa"/>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（1）职业病的概念</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color w:val="FF0000"/>
                <w:sz w:val="24"/>
                <w:szCs w:val="24"/>
              </w:rPr>
            </w:pPr>
          </w:p>
        </w:tc>
        <w:tc>
          <w:tcPr>
            <w:tcW w:w="2156"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sz w:val="24"/>
                <w:szCs w:val="24"/>
              </w:rPr>
            </w:pPr>
            <w:r>
              <w:rPr>
                <w:rFonts w:hint="eastAsia" w:ascii="宋体" w:hAnsi="宋体"/>
                <w:sz w:val="24"/>
                <w:szCs w:val="24"/>
              </w:rPr>
              <w:t>（2）职业病分类和目录制定</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（3）国家职业卫生标准的制定</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color w:val="FF0000"/>
                <w:sz w:val="24"/>
                <w:szCs w:val="24"/>
              </w:rPr>
            </w:pPr>
            <w:r>
              <w:rPr>
                <w:rFonts w:hint="eastAsia" w:ascii="宋体" w:hAnsi="宋体" w:cs="宋体"/>
                <w:color w:val="FF0000"/>
                <w:sz w:val="24"/>
                <w:szCs w:val="24"/>
              </w:rPr>
              <w:t>（4）职业健康监护档案</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4"/>
                <w:szCs w:val="24"/>
              </w:rPr>
            </w:pPr>
            <w:r>
              <w:rPr>
                <w:rFonts w:hint="eastAsia" w:ascii="宋体" w:hAnsi="宋体"/>
                <w:sz w:val="24"/>
                <w:szCs w:val="24"/>
              </w:rPr>
              <w:t>2.职业病诊断与职业病病人保障</w:t>
            </w: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（1）职业病诊断机构的设立及其条件</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（2）职业病诊断应当综合分析的因素</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（3）职业病诊断、鉴定的现场调查</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（4）发现职业病病人或者疑似职业病病人的报告</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（5）职业病诊断异议的处理</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（6）职业病诊断鉴定委员会的组成</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（7）职业病诊断鉴定委员会组成人员的责任</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（8）劳动者职业病诊断地点的选择</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4"/>
                <w:szCs w:val="24"/>
              </w:rPr>
            </w:pPr>
            <w:r>
              <w:rPr>
                <w:rFonts w:hint="eastAsia" w:ascii="宋体" w:hAnsi="宋体"/>
                <w:sz w:val="24"/>
                <w:szCs w:val="24"/>
              </w:rPr>
              <w:t>3.法律责任</w:t>
            </w: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（1）未按规定报告职业病的医疗卫生机构的法律责任</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（2）擅自从事职业病诊断的医疗卫生机构的法律责任</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（3）承担职业病诊断的医疗卫生机构的法律责任</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（4）职业病诊断鉴定委员会组成人的法律责任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五、突发公共卫生事件应急条例</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突发公共卫生事件的概念</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2.报告与信息发布</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（1）医疗卫生机构的职责</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（2）信息发布</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3.法律责任</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医疗卫生机构的法律责任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六、疫苗流通和预防接种管理条例</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sz w:val="24"/>
                <w:szCs w:val="24"/>
              </w:rPr>
            </w:pPr>
            <w:r>
              <w:rPr>
                <w:rFonts w:hint="eastAsia" w:ascii="宋体" w:hAnsi="宋体"/>
                <w:sz w:val="24"/>
                <w:szCs w:val="24"/>
              </w:rPr>
              <w:t>（1）疫苗的概念与分类</w:t>
            </w:r>
          </w:p>
          <w:p>
            <w:pPr>
              <w:rPr>
                <w:rFonts w:ascii="宋体" w:hAnsi="宋体"/>
                <w:sz w:val="24"/>
                <w:szCs w:val="24"/>
                <w:highlight w:val="yellow"/>
              </w:rPr>
            </w:pPr>
            <w:r>
              <w:rPr>
                <w:rFonts w:hint="eastAsia" w:ascii="宋体" w:hAnsi="宋体"/>
                <w:sz w:val="24"/>
                <w:szCs w:val="24"/>
                <w:highlight w:val="yellow"/>
              </w:rPr>
              <w:t>（2）免疫规划制度</w:t>
            </w:r>
          </w:p>
          <w:p>
            <w:pPr>
              <w:rPr>
                <w:rFonts w:ascii="宋体" w:hAnsi="宋体" w:cs="宋体"/>
                <w:sz w:val="24"/>
                <w:szCs w:val="24"/>
              </w:rPr>
            </w:pPr>
            <w:r>
              <w:rPr>
                <w:rFonts w:hint="eastAsia" w:ascii="宋体" w:hAnsi="宋体"/>
                <w:sz w:val="24"/>
                <w:szCs w:val="24"/>
                <w:highlight w:val="yellow"/>
              </w:rPr>
              <w:t>（3）疫苗全程电子追溯制度</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2.疫苗流通</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（1）疫苗的采购</w:t>
            </w:r>
            <w:r>
              <w:rPr>
                <w:rFonts w:hint="eastAsia" w:ascii="宋体" w:hAnsi="宋体"/>
                <w:color w:val="FF0000"/>
                <w:sz w:val="24"/>
                <w:szCs w:val="24"/>
              </w:rPr>
              <w:t>和供应</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（2）疫苗的</w:t>
            </w:r>
            <w:r>
              <w:rPr>
                <w:rFonts w:hint="eastAsia" w:ascii="宋体" w:hAnsi="宋体"/>
                <w:color w:val="FF0000"/>
                <w:sz w:val="24"/>
                <w:szCs w:val="24"/>
              </w:rPr>
              <w:t>接收和购进</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3.疫苗接种</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（1）接种单位应当具备的条件</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（2）疫苗接种单位的管理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（3）医疗卫生人员的责任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（4）儿童预防接种的管理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（5）群体性预防接种的管理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（6）疾病预防控制机构的职责</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4.异常反应的监测和处理</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（1）预防接种异常反应的概念</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（2）不属于预防接种异常反应的情形</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（3）预防接种异常反应的处理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（4）预防接种异常反应的补偿</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5.法律责任</w:t>
            </w:r>
          </w:p>
        </w:tc>
        <w:tc>
          <w:tcPr>
            <w:tcW w:w="3599" w:type="dxa"/>
            <w:tcBorders>
              <w:top w:val="nil"/>
              <w:left w:val="nil"/>
              <w:bottom w:val="nil"/>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（1）疫苗接种未遵循预防接种工作规范等的法律责任</w:t>
            </w:r>
          </w:p>
          <w:p>
            <w:pPr>
              <w:rPr>
                <w:rFonts w:ascii="宋体" w:hAnsi="宋体"/>
                <w:color w:val="FF0000"/>
                <w:sz w:val="24"/>
                <w:szCs w:val="24"/>
              </w:rPr>
            </w:pPr>
            <w:r>
              <w:rPr>
                <w:rFonts w:hint="eastAsia" w:ascii="宋体" w:hAnsi="宋体"/>
                <w:color w:val="FF0000"/>
                <w:sz w:val="24"/>
                <w:szCs w:val="24"/>
              </w:rPr>
              <w:t>（2）未按规定建立并保存疫苗接收、购进、接种、处置等记录的法律责任</w:t>
            </w:r>
          </w:p>
          <w:p>
            <w:pPr>
              <w:rPr>
                <w:rFonts w:ascii="宋体" w:hAnsi="宋体" w:cs="宋体"/>
                <w:sz w:val="24"/>
                <w:szCs w:val="24"/>
              </w:rPr>
            </w:pPr>
            <w:r>
              <w:rPr>
                <w:rFonts w:hint="eastAsia" w:ascii="宋体" w:hAnsi="宋体"/>
                <w:color w:val="FF0000"/>
                <w:sz w:val="24"/>
                <w:szCs w:val="24"/>
              </w:rPr>
              <w:t>（3）未按规定报告疑似预防接种异常反应等的法律责任</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七、艾滋病防治条例</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（1）艾滋病防治原则</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（2）不歧视规定</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2.预防与控制</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（1）艾滋病监测</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（2）自愿咨询和自愿检测制度</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（3）艾滋病患者的义务及其隐私权保护</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（4）采集或使用人体血液、血浆、组织的管理</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3.治疗与救助</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医疗卫生机构的责任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4.法律责任</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医疗卫生机构的法律责任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八、母婴保健法及其实施办法</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（1）母婴保健工作方针</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（2）母婴保健技术服务事项</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2.婚前保健</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（1）婚前保健的内容</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（2）婚前医学检查意见</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3.孕产期保健</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（1）孕产期保健服务的内容</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（2）医学指导</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（3）产前诊断</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（4）终止妊娠意见</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（5）新生儿出生医学证明</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（6）产妇、婴儿以及新生儿出生缺陷报告</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4.技术鉴定</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（1）鉴定机构</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（2）鉴定人员</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（3）回避制度</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5.行政管理</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母婴保健专项技术许可</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（1）擅自从事母婴保健技术的法律责任</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（2）出具虚假医学证明文件的法律责任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（3）违反规定进行胎儿性别鉴定的法律责任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九、献血法</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无偿献血制度</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2.医疗机构的职责</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（1）医疗机构用血管理</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（2）医疗机构用血要求</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3.血站的责任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（1）采血要求</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（2）供血要求</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（2）血站的法律责任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十、执业医师法</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医师的基本要求及职责</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2.考试和注册</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（1）参加医师资格考试的条件</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（2）医师资格种类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（3）执业注册</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（4）准予注册、不予注册、注销注册、变更注册、重新注册的情形</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（5）对不予注册、注销注册持有异议的法律救济</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3.执业规则</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（1）医师在执业活动中的权利和义务</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（2）医师执业要求</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（3）执业助理医师的特别规定</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4.考核和培训</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（1）医师考核内容</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（2）医师考核不合格的处理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（3）表彰与奖励</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（1）以不正当手段取得医师执业证书的法律责任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（2）医师执业活动中违法行为的法律责任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（3）擅自开办医疗机构或者非法行医的法律责任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十一、侵权责任法（医疗损害责任）</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（1）医疗损害责任的赔偿主体</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（2）推定医疗机构有过错的情形</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（3）医疗机构不承担赔偿责任的情形</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2.医疗机构承担赔偿责任的情形</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（1）未尽到说明义务</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（2）未尽到与当时医疗水平相应的诊疗义务</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（3）泄露患者隐私</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3.紧急情况医疗措施的实施</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紧急情况实施相应医疗措施的条件和程序</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4.病历资料</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（1）填写与保管</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（2）查阅与复制</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5.对医疗行为的规范</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不得违反诊疗规范实施不必要的检查</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6.医疗机构及其医务人员权益保护</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干扰医疗秩序和妨害医务人员工作、生活的法律后果</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十二、精神卫生法</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（1）精神卫生工作的方针、</w:t>
            </w:r>
            <w:r>
              <w:rPr>
                <w:rFonts w:hint="eastAsia" w:ascii="宋体" w:hAnsi="宋体"/>
                <w:color w:val="FF0000"/>
                <w:sz w:val="24"/>
                <w:szCs w:val="24"/>
                <w:highlight w:val="yellow"/>
              </w:rPr>
              <w:t>原则和管理机制</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（2）精神障碍患者合法权益保护</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2.心理健康促进和精神障碍预防</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医务人员对就诊者的心理健康指导</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3.精神障碍的诊断和预防</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（1）开展精神障碍诊断、治疗活动应具备的条件</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（2）精神障碍诊断、治疗原则</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（3）精神障碍的诊断</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（4）精神障碍的住院治疗</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（5）再次诊断和医学鉴定</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（6）医疗机构及其医务人员应当履行的责任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（7）保护性医疗措施的实施</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（8）使用药物的要求</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（9）病例资料及保管</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（10）心理治疗活动的开展</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4.精神障碍的康复</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（1）康复技术指导</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（2）严重精神障碍患者的健康档案</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（1）医疗机构擅自从事精神障碍诊断、治疗的法律责任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（2）医疗机构及其工作人员的法律责任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（3）从事心理治疗人员的法律责任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十三、医疗机构管理条例及其实施细则</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医疗机构服务宗旨</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2.医疗机构执业</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执业规则</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3.登记和校验</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（1）登记</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（2）校验</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4.法律责任</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医疗机构的法律责任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十四、医疗纠纷预防和处理条例</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（1）医疗纠纷的概念</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（2）处理医疗纠纷的原则</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2.医疗纠纷预防</w:t>
            </w: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（1）遵守医疗卫生法律和恪守职业道德</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（2）加强医疗质量安全和风险管理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（3）严格执行药品管理制度</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（4）履行告知义务</w:t>
            </w:r>
          </w:p>
          <w:p>
            <w:pPr>
              <w:rPr>
                <w:rFonts w:ascii="宋体" w:hAnsi="宋体"/>
                <w:color w:val="FF0000"/>
                <w:sz w:val="24"/>
                <w:szCs w:val="24"/>
              </w:rPr>
            </w:pPr>
            <w:r>
              <w:rPr>
                <w:rFonts w:hint="eastAsia" w:ascii="宋体" w:hAnsi="宋体"/>
                <w:color w:val="FF0000"/>
                <w:sz w:val="24"/>
                <w:szCs w:val="24"/>
              </w:rPr>
              <w:t>（5）病历书写、保管与查阅、复制</w:t>
            </w:r>
          </w:p>
          <w:p>
            <w:pPr>
              <w:rPr>
                <w:rFonts w:ascii="宋体" w:hAnsi="宋体"/>
                <w:color w:val="FF0000"/>
                <w:sz w:val="24"/>
                <w:szCs w:val="24"/>
              </w:rPr>
            </w:pPr>
            <w:r>
              <w:rPr>
                <w:rFonts w:hint="eastAsia" w:ascii="宋体" w:hAnsi="宋体"/>
                <w:color w:val="FF0000"/>
                <w:sz w:val="24"/>
                <w:szCs w:val="24"/>
              </w:rPr>
              <w:t>（6）建立健全医患沟通机制</w:t>
            </w:r>
          </w:p>
          <w:p>
            <w:pPr>
              <w:rPr>
                <w:rFonts w:ascii="宋体" w:hAnsi="宋体" w:cs="宋体"/>
                <w:color w:val="FF0000"/>
                <w:sz w:val="24"/>
                <w:szCs w:val="24"/>
              </w:rPr>
            </w:pPr>
            <w:r>
              <w:rPr>
                <w:rFonts w:hint="eastAsia" w:ascii="宋体" w:hAnsi="宋体"/>
                <w:color w:val="FF0000"/>
                <w:sz w:val="24"/>
                <w:szCs w:val="24"/>
              </w:rPr>
              <w:t>（7）建立健全投诉接待制度</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3.医疗纠纷处理</w:t>
            </w: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（1）解决医疗纠纷的途径</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（2）病历资料的封存和启封</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（3）现场实物的封存和启封</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（4）尸检</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（5）医疗损害鉴定</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FF0000"/>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color w:val="FF0000"/>
                <w:sz w:val="24"/>
                <w:szCs w:val="24"/>
              </w:rPr>
            </w:pP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4.法律责任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（1）医疗机构篡改、伪造、隐匿、毁灭病历资料的法律责任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auto"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auto" w:sz="4" w:space="0"/>
              <w:right w:val="single" w:color="000000"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（2）医疗机构将未通过技术评估和伦理审查的医疗新技术应用于临床的法律责任</w:t>
            </w:r>
          </w:p>
          <w:p>
            <w:pPr>
              <w:rPr>
                <w:rFonts w:ascii="宋体" w:hAnsi="宋体" w:cs="宋体"/>
                <w:color w:val="FF0000"/>
                <w:sz w:val="24"/>
                <w:szCs w:val="24"/>
              </w:rPr>
            </w:pPr>
            <w:r>
              <w:rPr>
                <w:rFonts w:hint="eastAsia" w:ascii="宋体" w:hAnsi="宋体"/>
                <w:color w:val="FF0000"/>
                <w:sz w:val="24"/>
                <w:szCs w:val="24"/>
              </w:rPr>
              <w:t>（3）医疗机构激期医务人员未履行规定义务的法律责任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auto" w:sz="4" w:space="0"/>
            </w:tcBorders>
            <w:shd w:val="clear" w:color="auto" w:fill="auto"/>
            <w:vAlign w:val="center"/>
          </w:tcPr>
          <w:p>
            <w:pPr>
              <w:rPr>
                <w:rFonts w:ascii="宋体" w:hAnsi="宋体" w:cs="宋体"/>
                <w:color w:val="000000"/>
                <w:sz w:val="24"/>
                <w:szCs w:val="24"/>
              </w:rPr>
            </w:pPr>
            <w:r>
              <w:rPr>
                <w:rFonts w:hint="eastAsia" w:ascii="宋体" w:hAnsi="宋体"/>
                <w:color w:val="000000"/>
                <w:sz w:val="24"/>
                <w:szCs w:val="24"/>
              </w:rPr>
              <w:t>十五、医疗事故处理条例</w:t>
            </w:r>
          </w:p>
        </w:tc>
        <w:tc>
          <w:tcPr>
            <w:tcW w:w="215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24"/>
                <w:szCs w:val="24"/>
              </w:rPr>
            </w:pPr>
            <w:r>
              <w:rPr>
                <w:rFonts w:hint="eastAsia" w:ascii="宋体" w:hAnsi="宋体"/>
                <w:color w:val="000000"/>
                <w:sz w:val="24"/>
                <w:szCs w:val="24"/>
              </w:rPr>
              <w:t>1.概述</w:t>
            </w:r>
          </w:p>
        </w:tc>
        <w:tc>
          <w:tcPr>
            <w:tcW w:w="359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24"/>
                <w:szCs w:val="24"/>
              </w:rPr>
            </w:pPr>
            <w:r>
              <w:rPr>
                <w:rFonts w:hint="eastAsia" w:ascii="宋体" w:hAnsi="宋体"/>
                <w:color w:val="000000"/>
                <w:sz w:val="24"/>
                <w:szCs w:val="24"/>
              </w:rPr>
              <w:t>（1）</w:t>
            </w:r>
            <w:r>
              <w:rPr>
                <w:rFonts w:hint="eastAsia" w:ascii="宋体" w:hAnsi="宋体"/>
                <w:color w:val="FF0000"/>
                <w:sz w:val="24"/>
                <w:szCs w:val="24"/>
              </w:rPr>
              <w:t>医疗事故的概念及其处理原则</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auto" w:sz="4" w:space="0"/>
            </w:tcBorders>
            <w:vAlign w:val="center"/>
          </w:tcPr>
          <w:p>
            <w:pPr>
              <w:rPr>
                <w:rFonts w:ascii="宋体" w:hAnsi="宋体" w:cs="宋体"/>
                <w:color w:val="000000"/>
                <w:sz w:val="24"/>
                <w:szCs w:val="24"/>
              </w:rPr>
            </w:pPr>
          </w:p>
        </w:tc>
        <w:tc>
          <w:tcPr>
            <w:tcW w:w="215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sz w:val="24"/>
                <w:szCs w:val="24"/>
              </w:rPr>
            </w:pPr>
          </w:p>
        </w:tc>
        <w:tc>
          <w:tcPr>
            <w:tcW w:w="359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24"/>
                <w:szCs w:val="24"/>
              </w:rPr>
            </w:pPr>
            <w:r>
              <w:rPr>
                <w:rFonts w:hint="eastAsia" w:ascii="宋体" w:hAnsi="宋体"/>
                <w:color w:val="000000"/>
                <w:sz w:val="24"/>
                <w:szCs w:val="24"/>
              </w:rPr>
              <w:t>（2）处理医疗事故的基本要求</w:t>
            </w:r>
          </w:p>
        </w:tc>
      </w:tr>
      <w:tr>
        <w:tblPrEx>
          <w:tblCellMar>
            <w:top w:w="0" w:type="dxa"/>
            <w:left w:w="108" w:type="dxa"/>
            <w:bottom w:w="0" w:type="dxa"/>
            <w:right w:w="108" w:type="dxa"/>
          </w:tblCellMar>
        </w:tblPrEx>
        <w:trPr>
          <w:trHeight w:val="1580" w:hRule="atLeast"/>
        </w:trPr>
        <w:tc>
          <w:tcPr>
            <w:tcW w:w="2915" w:type="dxa"/>
            <w:vMerge w:val="continue"/>
            <w:tcBorders>
              <w:top w:val="nil"/>
              <w:left w:val="single" w:color="000000" w:sz="4" w:space="0"/>
              <w:bottom w:val="single" w:color="000000" w:sz="4" w:space="0"/>
              <w:right w:val="single" w:color="auto" w:sz="4" w:space="0"/>
            </w:tcBorders>
            <w:vAlign w:val="center"/>
          </w:tcPr>
          <w:p>
            <w:pPr>
              <w:rPr>
                <w:rFonts w:ascii="宋体" w:hAnsi="宋体" w:cs="宋体"/>
                <w:color w:val="000000"/>
                <w:sz w:val="24"/>
                <w:szCs w:val="24"/>
              </w:rPr>
            </w:pPr>
          </w:p>
        </w:tc>
        <w:tc>
          <w:tcPr>
            <w:tcW w:w="215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24"/>
                <w:szCs w:val="24"/>
              </w:rPr>
            </w:pPr>
            <w:r>
              <w:rPr>
                <w:rFonts w:hint="eastAsia" w:ascii="宋体" w:hAnsi="宋体"/>
                <w:color w:val="000000"/>
                <w:sz w:val="24"/>
                <w:szCs w:val="24"/>
              </w:rPr>
              <w:t>2.医疗事故的预防与处置</w:t>
            </w:r>
          </w:p>
        </w:tc>
        <w:tc>
          <w:tcPr>
            <w:tcW w:w="359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医疗事故的报告</w:t>
            </w:r>
          </w:p>
        </w:tc>
      </w:tr>
      <w:tr>
        <w:tblPrEx>
          <w:tblCellMar>
            <w:top w:w="0" w:type="dxa"/>
            <w:left w:w="108" w:type="dxa"/>
            <w:bottom w:w="0" w:type="dxa"/>
            <w:right w:w="108" w:type="dxa"/>
          </w:tblCellMar>
        </w:tblPrEx>
        <w:trPr>
          <w:trHeight w:val="1922" w:hRule="atLeast"/>
        </w:trPr>
        <w:tc>
          <w:tcPr>
            <w:tcW w:w="2915" w:type="dxa"/>
            <w:vMerge w:val="continue"/>
            <w:tcBorders>
              <w:top w:val="nil"/>
              <w:left w:val="single" w:color="000000" w:sz="4" w:space="0"/>
              <w:bottom w:val="single" w:color="000000" w:sz="4" w:space="0"/>
              <w:right w:val="single" w:color="auto" w:sz="4" w:space="0"/>
            </w:tcBorders>
            <w:vAlign w:val="center"/>
          </w:tcPr>
          <w:p>
            <w:pPr>
              <w:rPr>
                <w:rFonts w:ascii="宋体" w:hAnsi="宋体" w:cs="宋体"/>
                <w:color w:val="000000"/>
                <w:sz w:val="24"/>
                <w:szCs w:val="24"/>
              </w:rPr>
            </w:pPr>
          </w:p>
        </w:tc>
        <w:tc>
          <w:tcPr>
            <w:tcW w:w="215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3.医疗事故的行政处理与监督</w:t>
            </w:r>
          </w:p>
        </w:tc>
        <w:tc>
          <w:tcPr>
            <w:tcW w:w="3599" w:type="dxa"/>
            <w:tcBorders>
              <w:top w:val="single" w:color="auto" w:sz="4" w:space="0"/>
              <w:left w:val="single" w:color="auto" w:sz="4" w:space="0"/>
              <w:right w:val="single" w:color="auto" w:sz="4" w:space="0"/>
            </w:tcBorders>
            <w:shd w:val="clear" w:color="auto" w:fill="auto"/>
            <w:vAlign w:val="center"/>
          </w:tcPr>
          <w:p>
            <w:pPr>
              <w:rPr>
                <w:rFonts w:ascii="宋体" w:hAnsi="宋体"/>
                <w:color w:val="FF0000"/>
                <w:sz w:val="24"/>
                <w:szCs w:val="24"/>
              </w:rPr>
            </w:pPr>
            <w:r>
              <w:rPr>
                <w:rFonts w:hint="eastAsia" w:ascii="宋体" w:hAnsi="宋体"/>
                <w:color w:val="FF0000"/>
                <w:sz w:val="24"/>
                <w:szCs w:val="24"/>
              </w:rPr>
              <w:t>（1）卫生行政部门对重大医疗过失行为的处理</w:t>
            </w:r>
          </w:p>
          <w:p>
            <w:pPr>
              <w:rPr>
                <w:rFonts w:ascii="宋体" w:hAnsi="宋体" w:cs="宋体"/>
                <w:color w:val="000000"/>
                <w:sz w:val="24"/>
                <w:szCs w:val="24"/>
              </w:rPr>
            </w:pPr>
            <w:r>
              <w:rPr>
                <w:rFonts w:hint="eastAsia" w:ascii="宋体" w:hAnsi="宋体"/>
                <w:color w:val="FF0000"/>
                <w:sz w:val="24"/>
                <w:szCs w:val="24"/>
              </w:rPr>
              <w:t>（2）卫生行政部门对发生医疗事故的医疗机构和医务人员的行政处理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24"/>
                <w:szCs w:val="24"/>
              </w:rPr>
            </w:pPr>
          </w:p>
        </w:tc>
        <w:tc>
          <w:tcPr>
            <w:tcW w:w="2156"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4"/>
                <w:szCs w:val="24"/>
              </w:rPr>
            </w:pPr>
            <w:r>
              <w:rPr>
                <w:rFonts w:hint="eastAsia" w:ascii="宋体" w:hAnsi="宋体"/>
                <w:color w:val="000000"/>
                <w:sz w:val="24"/>
                <w:szCs w:val="24"/>
              </w:rPr>
              <w:t>4.法律责任</w:t>
            </w:r>
          </w:p>
        </w:tc>
        <w:tc>
          <w:tcPr>
            <w:tcW w:w="3599" w:type="dxa"/>
            <w:tcBorders>
              <w:top w:val="single" w:color="auto" w:sz="4" w:space="0"/>
              <w:left w:val="nil"/>
              <w:bottom w:val="nil"/>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（1）医疗机构的法律责任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color w:val="000000"/>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color w:val="FF0000"/>
                <w:sz w:val="24"/>
                <w:szCs w:val="24"/>
              </w:rPr>
            </w:pPr>
            <w:r>
              <w:rPr>
                <w:rFonts w:hint="eastAsia" w:ascii="宋体" w:hAnsi="宋体"/>
                <w:color w:val="FF0000"/>
                <w:sz w:val="24"/>
                <w:szCs w:val="24"/>
              </w:rPr>
              <w:t>（2）医务人员的法律责任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十六、人体器官移植条例</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（1）申请人体器官移植手术患者排序原则</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（2）禁止买卖人体器官</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2.人体器官的捐献</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（1）捐献原则</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（2）捐献人体器官公民的条件</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（3）捐献意愿的撤销</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（4）活体器官捐献人的条件</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（5）活体器官接受人的条件</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3.人体器官的移植</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（1）诊疗科目登记</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（2）捐献人的医学检查和接受人的风险评估</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（3）伦理审查</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（4）摘取活体器官应当履行的义务</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（5）摘取尸体器官的要求</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（6）个人资料保密</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（2）医务人员的法律责任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十七、放射诊疗管理规定</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放射诊疗的概念与分类</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2.执业条件</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（1）安全防护装置、辐射检测仪器和个人防护用品的配备与使用</w:t>
            </w:r>
          </w:p>
        </w:tc>
      </w:tr>
      <w:tr>
        <w:tblPrEx>
          <w:tblCellMar>
            <w:top w:w="0" w:type="dxa"/>
            <w:left w:w="108" w:type="dxa"/>
            <w:bottom w:w="0" w:type="dxa"/>
            <w:right w:w="108" w:type="dxa"/>
          </w:tblCellMar>
        </w:tblPrEx>
        <w:trPr>
          <w:trHeight w:val="228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（2）设备和场所警示标志的设置</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3.安全防护与质量保证</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（1）场所防护要求</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（2）工作人员防护要求</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（3）患者和受检查的防护要求</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（4）放射诊断检查的原则和实施</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（5）放射治疗的原则和实施</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4.法律责任</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医疗机构的法律责任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十八、处方管理办法</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（1）处方的概念</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（2）处方开具与调剂原则</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2.处方管理的一般规定</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（1）处方书写的规则</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（2）药品剂量与数量的书写的要求</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3.处方权的获得</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（1）处方权的取得</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（2）开具处方的条件</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4.处方的开具</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开具处方的要求</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5.监督管理</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医疗机构对处方的管理</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6.法律责任</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医师的法律责任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十九、抗菌药物临床应用管理办法</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（1）抗菌药物临床应用的原则</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（2）抗菌药物临床应用的分级管理</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2.抗菌药物临床应用管理</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（1）遴选和定期评估制度</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（2）细菌耐药预警机制</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（3）异常情况的调查和处理</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（4）抗菌药物临床应用知识和规范化管理培训及考核</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3.抗菌药物的临床应用</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（1）处方权的授予</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（2）预防感染指征的掌握</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（3）特殊使用级抗菌药物的使用</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（4）越级使用的情形</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4.监督管理</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（1）抗菌药物处方、医嘱点评</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（2）对开具抗菌药物超常处方医师的处理</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（3）取消医师抗菌药物处方权的情形</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（1）开具抗菌药物牟取不正当利益的法律责任</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（2）医师违反抗菌药物临床应用规定的法律责任</w:t>
            </w:r>
          </w:p>
        </w:tc>
      </w:tr>
      <w:tr>
        <w:tblPrEx>
          <w:tblCellMar>
            <w:top w:w="0" w:type="dxa"/>
            <w:left w:w="108" w:type="dxa"/>
            <w:bottom w:w="0" w:type="dxa"/>
            <w:right w:w="108" w:type="dxa"/>
          </w:tblCellMar>
        </w:tblPrEx>
        <w:trPr>
          <w:trHeight w:val="142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二十、医疗机构临床用血管理办法</w:t>
            </w: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（1）临床输血管理委员会</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（2）输血科（血库）</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2.临床用血管理</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（1）临床用血计划</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（2）医务人员职责</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（3）临床用血申请</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（4）签署临床输血治疗知情同意书</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（5）临时采集血液必须同时符合的条件</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（6）临床用血不良事件监测报告</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（7）临床用血医学文书管理</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（1）医疗机构的法律责任</w:t>
            </w:r>
          </w:p>
        </w:tc>
      </w:tr>
      <w:tr>
        <w:tblPrEx>
          <w:tblCellMar>
            <w:top w:w="0" w:type="dxa"/>
            <w:left w:w="108" w:type="dxa"/>
            <w:bottom w:w="0" w:type="dxa"/>
            <w:right w:w="108" w:type="dxa"/>
          </w:tblCellMar>
        </w:tblPrEx>
        <w:trPr>
          <w:trHeight w:val="28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（2）医务人员的法律责任</w:t>
            </w:r>
          </w:p>
        </w:tc>
      </w:tr>
      <w:tr>
        <w:tblPrEx>
          <w:tblCellMar>
            <w:top w:w="0" w:type="dxa"/>
            <w:left w:w="108" w:type="dxa"/>
            <w:bottom w:w="0" w:type="dxa"/>
            <w:right w:w="108" w:type="dxa"/>
          </w:tblCellMar>
        </w:tblPrEx>
        <w:trPr>
          <w:trHeight w:val="28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二十一、药品管理法及其实施条例</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药品的概念</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2.药品管理</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（1）禁止生产、销售假药</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（2）禁止生产、销售劣药</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（3）处方药与非处方药</w:t>
            </w:r>
          </w:p>
        </w:tc>
      </w:tr>
      <w:tr>
        <w:tblPrEx>
          <w:tblCellMar>
            <w:top w:w="0" w:type="dxa"/>
            <w:left w:w="108" w:type="dxa"/>
            <w:bottom w:w="0" w:type="dxa"/>
            <w:right w:w="108" w:type="dxa"/>
          </w:tblCellMar>
        </w:tblPrEx>
        <w:trPr>
          <w:trHeight w:val="171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（1）医疗机构在药品购销中违法行为的法律责任</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（2）医疗机构相关人员违法行为的法律责任</w:t>
            </w:r>
          </w:p>
        </w:tc>
      </w:tr>
      <w:tr>
        <w:tblPrEx>
          <w:tblCellMar>
            <w:top w:w="0" w:type="dxa"/>
            <w:left w:w="108" w:type="dxa"/>
            <w:bottom w:w="0" w:type="dxa"/>
            <w:right w:w="108" w:type="dxa"/>
          </w:tblCellMar>
        </w:tblPrEx>
        <w:trPr>
          <w:trHeight w:val="1425" w:hRule="atLeast"/>
        </w:trPr>
        <w:tc>
          <w:tcPr>
            <w:tcW w:w="2915"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二十二、麻醉药品和精神药品管理条例</w:t>
            </w:r>
          </w:p>
        </w:tc>
        <w:tc>
          <w:tcPr>
            <w:tcW w:w="2156"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麻醉药品和精神药品的概念及其临床使用原则</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2.麻醉药品和精神药品的使用</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（1）麻醉药品、第一类精神药品购用印鉴卡</w:t>
            </w:r>
          </w:p>
        </w:tc>
      </w:tr>
      <w:tr>
        <w:tblPrEx>
          <w:tblCellMar>
            <w:top w:w="0" w:type="dxa"/>
            <w:left w:w="108" w:type="dxa"/>
            <w:bottom w:w="0" w:type="dxa"/>
            <w:right w:w="108" w:type="dxa"/>
          </w:tblCellMar>
        </w:tblPrEx>
        <w:trPr>
          <w:trHeight w:val="114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（2）麻醉药物和精神药品处方权</w:t>
            </w:r>
          </w:p>
        </w:tc>
      </w:tr>
      <w:tr>
        <w:tblPrEx>
          <w:tblCellMar>
            <w:top w:w="0" w:type="dxa"/>
            <w:left w:w="108" w:type="dxa"/>
            <w:bottom w:w="0" w:type="dxa"/>
            <w:right w:w="108" w:type="dxa"/>
          </w:tblCellMar>
        </w:tblPrEx>
        <w:trPr>
          <w:trHeight w:val="142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（3）麻醉药品、第一类精神药品的使用</w:t>
            </w:r>
          </w:p>
        </w:tc>
      </w:tr>
      <w:tr>
        <w:tblPrEx>
          <w:tblCellMar>
            <w:top w:w="0" w:type="dxa"/>
            <w:left w:w="108" w:type="dxa"/>
            <w:bottom w:w="0" w:type="dxa"/>
            <w:right w:w="108" w:type="dxa"/>
          </w:tblCellMar>
        </w:tblPrEx>
        <w:trPr>
          <w:trHeight w:val="85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restart"/>
            <w:tcBorders>
              <w:top w:val="nil"/>
              <w:left w:val="single" w:color="000000" w:sz="4" w:space="0"/>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3.法律责任</w:t>
            </w: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（1）医疗机构的法律责任</w:t>
            </w:r>
          </w:p>
        </w:tc>
      </w:tr>
      <w:tr>
        <w:tblPrEx>
          <w:tblCellMar>
            <w:top w:w="0" w:type="dxa"/>
            <w:left w:w="108" w:type="dxa"/>
            <w:bottom w:w="0" w:type="dxa"/>
            <w:right w:w="108" w:type="dxa"/>
          </w:tblCellMar>
        </w:tblPrEx>
        <w:trPr>
          <w:trHeight w:val="1995"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nil"/>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（2）具有麻醉药品和第一类精神药品处方资格医师的法律责任</w:t>
            </w:r>
          </w:p>
        </w:tc>
      </w:tr>
      <w:tr>
        <w:tblPrEx>
          <w:tblCellMar>
            <w:top w:w="0" w:type="dxa"/>
            <w:left w:w="108" w:type="dxa"/>
            <w:bottom w:w="0" w:type="dxa"/>
            <w:right w:w="108" w:type="dxa"/>
          </w:tblCellMar>
        </w:tblPrEx>
        <w:trPr>
          <w:trHeight w:val="5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3599" w:type="dxa"/>
            <w:tcBorders>
              <w:top w:val="nil"/>
              <w:left w:val="nil"/>
              <w:bottom w:val="single" w:color="000000" w:sz="4" w:space="0"/>
              <w:right w:val="single" w:color="000000" w:sz="4" w:space="0"/>
            </w:tcBorders>
            <w:shd w:val="clear" w:color="auto" w:fill="auto"/>
            <w:vAlign w:val="center"/>
          </w:tcPr>
          <w:p>
            <w:pPr>
              <w:rPr>
                <w:rFonts w:ascii="宋体" w:hAnsi="宋体" w:cs="宋体"/>
                <w:sz w:val="24"/>
                <w:szCs w:val="24"/>
              </w:rPr>
            </w:pPr>
            <w:r>
              <w:rPr>
                <w:rFonts w:hint="eastAsia" w:ascii="宋体" w:hAnsi="宋体"/>
                <w:sz w:val="24"/>
                <w:szCs w:val="24"/>
              </w:rPr>
              <w:t>（3）未取得麻醉药品和第一类精神药品处方资格医师的法律责任</w:t>
            </w:r>
          </w:p>
        </w:tc>
      </w:tr>
      <w:tr>
        <w:tblPrEx>
          <w:tblCellMar>
            <w:top w:w="0" w:type="dxa"/>
            <w:left w:w="108" w:type="dxa"/>
            <w:bottom w:w="0" w:type="dxa"/>
            <w:right w:w="108" w:type="dxa"/>
          </w:tblCellMar>
        </w:tblPrEx>
        <w:trPr>
          <w:trHeight w:val="270" w:hRule="atLeast"/>
        </w:trPr>
        <w:tc>
          <w:tcPr>
            <w:tcW w:w="2915" w:type="dxa"/>
            <w:vMerge w:val="restar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sz w:val="24"/>
                <w:szCs w:val="24"/>
              </w:rPr>
            </w:pPr>
            <w:r>
              <w:rPr>
                <w:rFonts w:hint="eastAsia" w:ascii="宋体" w:hAnsi="宋体"/>
                <w:sz w:val="24"/>
                <w:szCs w:val="24"/>
              </w:rPr>
              <w:t>二十三、药品不良反应报告和监测管理办法</w:t>
            </w:r>
          </w:p>
        </w:tc>
        <w:tc>
          <w:tcPr>
            <w:tcW w:w="2156"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1.概述</w:t>
            </w: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药品不良反应的概念</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2.报告与处置</w:t>
            </w: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医疗机构的职责</w:t>
            </w:r>
          </w:p>
        </w:tc>
      </w:tr>
      <w:tr>
        <w:tblPrEx>
          <w:tblCellMar>
            <w:top w:w="0" w:type="dxa"/>
            <w:left w:w="108" w:type="dxa"/>
            <w:bottom w:w="0" w:type="dxa"/>
            <w:right w:w="108" w:type="dxa"/>
          </w:tblCellMar>
        </w:tblPrEx>
        <w:trPr>
          <w:trHeight w:val="270" w:hRule="atLeast"/>
        </w:trPr>
        <w:tc>
          <w:tcPr>
            <w:tcW w:w="2915" w:type="dxa"/>
            <w:vMerge w:val="continue"/>
            <w:tcBorders>
              <w:top w:val="nil"/>
              <w:left w:val="single" w:color="000000" w:sz="4" w:space="0"/>
              <w:bottom w:val="single" w:color="000000" w:sz="4" w:space="0"/>
              <w:right w:val="single" w:color="000000" w:sz="4" w:space="0"/>
            </w:tcBorders>
            <w:vAlign w:val="center"/>
          </w:tcPr>
          <w:p>
            <w:pPr>
              <w:rPr>
                <w:rFonts w:ascii="宋体" w:hAnsi="宋体" w:cs="宋体"/>
                <w:sz w:val="24"/>
                <w:szCs w:val="24"/>
              </w:rPr>
            </w:pPr>
          </w:p>
        </w:tc>
        <w:tc>
          <w:tcPr>
            <w:tcW w:w="2156"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3.法律责任</w:t>
            </w:r>
          </w:p>
        </w:tc>
        <w:tc>
          <w:tcPr>
            <w:tcW w:w="3599" w:type="dxa"/>
            <w:tcBorders>
              <w:top w:val="nil"/>
              <w:left w:val="nil"/>
              <w:bottom w:val="single" w:color="000000" w:sz="4" w:space="0"/>
              <w:right w:val="single" w:color="000000" w:sz="4" w:space="0"/>
            </w:tcBorders>
            <w:shd w:val="clear" w:color="auto" w:fill="auto"/>
            <w:noWrap/>
            <w:vAlign w:val="center"/>
          </w:tcPr>
          <w:p>
            <w:pPr>
              <w:rPr>
                <w:rFonts w:ascii="宋体" w:hAnsi="宋体" w:cs="宋体"/>
                <w:sz w:val="24"/>
                <w:szCs w:val="24"/>
              </w:rPr>
            </w:pPr>
            <w:r>
              <w:rPr>
                <w:rFonts w:hint="eastAsia" w:ascii="宋体" w:hAnsi="宋体"/>
                <w:sz w:val="24"/>
                <w:szCs w:val="24"/>
              </w:rPr>
              <w:t>医疗机构的法律责任</w:t>
            </w:r>
          </w:p>
        </w:tc>
      </w:tr>
      <w:tr>
        <w:tblPrEx>
          <w:tblCellMar>
            <w:top w:w="0" w:type="dxa"/>
            <w:left w:w="108" w:type="dxa"/>
            <w:bottom w:w="0" w:type="dxa"/>
            <w:right w:w="108" w:type="dxa"/>
          </w:tblCellMar>
        </w:tblPrEx>
        <w:trPr>
          <w:trHeight w:val="270" w:hRule="atLeast"/>
        </w:trPr>
        <w:tc>
          <w:tcPr>
            <w:tcW w:w="2915" w:type="dxa"/>
            <w:tcBorders>
              <w:top w:val="nil"/>
              <w:left w:val="nil"/>
              <w:bottom w:val="nil"/>
              <w:right w:val="nil"/>
            </w:tcBorders>
            <w:shd w:val="clear" w:color="auto" w:fill="auto"/>
            <w:noWrap/>
            <w:vAlign w:val="center"/>
          </w:tcPr>
          <w:p>
            <w:pPr>
              <w:rPr>
                <w:rFonts w:ascii="宋体" w:hAnsi="宋体" w:cs="宋体"/>
                <w:sz w:val="24"/>
                <w:szCs w:val="24"/>
              </w:rPr>
            </w:pPr>
          </w:p>
        </w:tc>
        <w:tc>
          <w:tcPr>
            <w:tcW w:w="2156" w:type="dxa"/>
            <w:tcBorders>
              <w:top w:val="nil"/>
              <w:left w:val="nil"/>
              <w:bottom w:val="nil"/>
              <w:right w:val="nil"/>
            </w:tcBorders>
            <w:shd w:val="clear" w:color="auto" w:fill="auto"/>
            <w:noWrap/>
            <w:vAlign w:val="center"/>
          </w:tcPr>
          <w:p>
            <w:pPr>
              <w:rPr>
                <w:rFonts w:ascii="宋体" w:hAnsi="宋体" w:cs="宋体"/>
                <w:sz w:val="24"/>
                <w:szCs w:val="24"/>
              </w:rPr>
            </w:pPr>
          </w:p>
        </w:tc>
        <w:tc>
          <w:tcPr>
            <w:tcW w:w="3599" w:type="dxa"/>
            <w:tcBorders>
              <w:top w:val="nil"/>
              <w:left w:val="nil"/>
              <w:bottom w:val="nil"/>
              <w:right w:val="nil"/>
            </w:tcBorders>
            <w:shd w:val="clear" w:color="auto" w:fill="auto"/>
            <w:noWrap/>
            <w:vAlign w:val="center"/>
          </w:tcPr>
          <w:p>
            <w:pPr>
              <w:rPr>
                <w:rFonts w:ascii="宋体" w:hAnsi="宋体" w:cs="宋体"/>
                <w:sz w:val="24"/>
                <w:szCs w:val="24"/>
              </w:rPr>
            </w:pPr>
          </w:p>
        </w:tc>
      </w:tr>
    </w:tbl>
    <w:p>
      <w:pPr>
        <w:rPr>
          <w:rFonts w:ascii="宋体" w:hAnsi="宋体"/>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ascii="宋体" w:hAnsi="宋体"/>
      </w:rPr>
    </w:pPr>
    <w:r>
      <w:drawing>
        <wp:inline distT="0" distB="0" distL="0" distR="0">
          <wp:extent cx="1590675" cy="400050"/>
          <wp:effectExtent l="19050" t="0" r="9525" b="0"/>
          <wp:docPr id="1"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1"/>
                  <pic:cNvPicPr>
                    <a:picLocks noChangeAspect="1" noChangeArrowheads="1"/>
                  </pic:cNvPicPr>
                </pic:nvPicPr>
                <pic:blipFill>
                  <a:blip r:embed="rId1"/>
                  <a:srcRect/>
                  <a:stretch>
                    <a:fillRect/>
                  </a:stretch>
                </pic:blipFill>
                <pic:spPr>
                  <a:xfrm>
                    <a:off x="0" y="0"/>
                    <a:ext cx="1590675" cy="400050"/>
                  </a:xfrm>
                  <a:prstGeom prst="rect">
                    <a:avLst/>
                  </a:prstGeom>
                  <a:noFill/>
                  <a:ln w="9525">
                    <a:noFill/>
                    <a:miter lim="800000"/>
                    <a:headEnd/>
                    <a:tailEnd/>
                  </a:ln>
                </pic:spPr>
              </pic:pic>
            </a:graphicData>
          </a:graphic>
        </wp:inline>
      </w:drawing>
    </w:r>
    <w:r>
      <w:rPr>
        <w:rFonts w:hint="eastAsia"/>
      </w:rPr>
      <w:t>　　　　　　　　　</w:t>
    </w:r>
    <w:r>
      <w:rPr>
        <w:rFonts w:hint="eastAsia" w:ascii="宋体" w:hAnsi="宋体"/>
      </w:rPr>
      <w:t xml:space="preserve">　　 </w:t>
    </w:r>
    <w:r>
      <w:fldChar w:fldCharType="begin"/>
    </w:r>
    <w:r>
      <w:instrText xml:space="preserve"> HYPERLINK "http://www.cdeledu.com" </w:instrText>
    </w:r>
    <w:r>
      <w:fldChar w:fldCharType="separate"/>
    </w:r>
    <w:r>
      <w:rPr>
        <w:rStyle w:val="7"/>
        <w:rFonts w:hint="eastAsia" w:ascii="宋体" w:hAnsi="宋体"/>
      </w:rPr>
      <w:t>正保远程教育</w:t>
    </w:r>
    <w:r>
      <w:rPr>
        <w:rStyle w:val="7"/>
        <w:rFonts w:hint="eastAsia" w:ascii="宋体" w:hAnsi="宋体"/>
      </w:rPr>
      <w:fldChar w:fldCharType="end"/>
    </w:r>
    <w:r>
      <w:rPr>
        <w:rFonts w:hint="eastAsia" w:ascii="宋体" w:hAnsi="宋体"/>
      </w:rPr>
      <w:t>（美国纽交所上市公司　代码：DL）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B7B91"/>
    <w:rsid w:val="000112DA"/>
    <w:rsid w:val="00042905"/>
    <w:rsid w:val="00075EAC"/>
    <w:rsid w:val="00093829"/>
    <w:rsid w:val="000A6B50"/>
    <w:rsid w:val="000D0FE9"/>
    <w:rsid w:val="00113893"/>
    <w:rsid w:val="00132F6E"/>
    <w:rsid w:val="001B0E00"/>
    <w:rsid w:val="001C2FEB"/>
    <w:rsid w:val="001E7B43"/>
    <w:rsid w:val="002A6078"/>
    <w:rsid w:val="00300043"/>
    <w:rsid w:val="0031195A"/>
    <w:rsid w:val="0032284B"/>
    <w:rsid w:val="004955D1"/>
    <w:rsid w:val="004D1789"/>
    <w:rsid w:val="004F3384"/>
    <w:rsid w:val="005230F3"/>
    <w:rsid w:val="005A093F"/>
    <w:rsid w:val="005B51F7"/>
    <w:rsid w:val="005C2BB3"/>
    <w:rsid w:val="00645D12"/>
    <w:rsid w:val="006852A8"/>
    <w:rsid w:val="006B7B91"/>
    <w:rsid w:val="007C54BC"/>
    <w:rsid w:val="007C62F0"/>
    <w:rsid w:val="008D0EA7"/>
    <w:rsid w:val="008E16BA"/>
    <w:rsid w:val="00912BD6"/>
    <w:rsid w:val="009720E2"/>
    <w:rsid w:val="00977970"/>
    <w:rsid w:val="00993ED5"/>
    <w:rsid w:val="00A35239"/>
    <w:rsid w:val="00A63AD5"/>
    <w:rsid w:val="00B13779"/>
    <w:rsid w:val="00B978F6"/>
    <w:rsid w:val="00BE7497"/>
    <w:rsid w:val="00C023F6"/>
    <w:rsid w:val="00C421A1"/>
    <w:rsid w:val="00C533B1"/>
    <w:rsid w:val="00C77592"/>
    <w:rsid w:val="00CA77D4"/>
    <w:rsid w:val="00D263EE"/>
    <w:rsid w:val="00D37EAA"/>
    <w:rsid w:val="00D81A0C"/>
    <w:rsid w:val="00DA38BD"/>
    <w:rsid w:val="00DC7269"/>
    <w:rsid w:val="00E04F3A"/>
    <w:rsid w:val="00E411B5"/>
    <w:rsid w:val="00EB67D4"/>
    <w:rsid w:val="00EC3F0D"/>
    <w:rsid w:val="00EC419C"/>
    <w:rsid w:val="00ED725C"/>
    <w:rsid w:val="00F0614A"/>
    <w:rsid w:val="00F34C82"/>
    <w:rsid w:val="00F64C74"/>
    <w:rsid w:val="00F65F16"/>
    <w:rsid w:val="00FA1A7D"/>
    <w:rsid w:val="00FD169B"/>
    <w:rsid w:val="30575A0D"/>
    <w:rsid w:val="5FDED04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Hyperlink"/>
    <w:basedOn w:val="6"/>
    <w:semiHidden/>
    <w:unhideWhenUsed/>
    <w:uiPriority w:val="0"/>
    <w:rPr>
      <w:color w:val="0000FF"/>
      <w:u w:val="single"/>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816</Words>
  <Characters>4652</Characters>
  <Lines>38</Lines>
  <Paragraphs>10</Paragraphs>
  <TotalTime>142</TotalTime>
  <ScaleCrop>false</ScaleCrop>
  <LinksUpToDate>false</LinksUpToDate>
  <CharactersWithSpaces>5458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2017-03-21T10:33:00Z</dcterms:created>
  <dc:creator>DELL</dc:creator>
  <cp:lastModifiedBy>dell</cp:lastModifiedBy>
  <dcterms:modified xsi:type="dcterms:W3CDTF">2020-12-28T04:26:08Z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