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</w:pPr>
      <w:bookmarkStart w:id="0" w:name="_GoBack"/>
      <w:r>
        <w:rPr>
          <w:rFonts w:hint="eastAsia"/>
          <w:b/>
          <w:color w:val="333333"/>
          <w:sz w:val="36"/>
          <w:szCs w:val="36"/>
          <w:lang w:val="en-US" w:eastAsia="zh-CN"/>
        </w:rPr>
        <w:t>卫生法规高频考点</w:t>
      </w:r>
    </w:p>
    <w:bookmarkEnd w:id="0"/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1.乙类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"http://www.med66.com/webhtml/project/neikexue/chuanranbingxue.htm" \o "传染病"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传染病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按甲类处理：SARS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2.中医药专家学术经验和技术专长继承工作的继承人应当具备的条件：具有大学本科以上学历和良好的执业品德。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3.医疗事故争议协商不成的，当事人自知道或者应当知道其身体健康受到损害之日起一年内，可以向卫生行政部门提出医疗事故争议处理申请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4.卫生行政部门应当自收到医疗事故争议处理申请之日10日内进行审查，做出是否受理的决定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5.根据突发事件应急处理的需要，突发事件应急处理指挥部有权紧急调集人员、储备的物资交通工具以及相关设备、设施。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6.医疗用毒性药品，每次处方剂量不得超过2日剂量。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7.受吊销医师执业证书行政处罚，自处罚决定之日起至申请注册之日不满两年，不予注册。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1E41F84"/>
    <w:rsid w:val="07C17635"/>
    <w:rsid w:val="0D7360CC"/>
    <w:rsid w:val="13E9648C"/>
    <w:rsid w:val="17D7374D"/>
    <w:rsid w:val="2F0F7F86"/>
    <w:rsid w:val="33D747C0"/>
    <w:rsid w:val="34511ED1"/>
    <w:rsid w:val="469B444E"/>
    <w:rsid w:val="4A584F10"/>
    <w:rsid w:val="4BBC50B7"/>
    <w:rsid w:val="55935B39"/>
    <w:rsid w:val="569C1B7B"/>
    <w:rsid w:val="57A0555D"/>
    <w:rsid w:val="5DE97793"/>
    <w:rsid w:val="62E838B2"/>
    <w:rsid w:val="69BE678F"/>
    <w:rsid w:val="6B7E0DD3"/>
    <w:rsid w:val="71A1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2019-11-07T06:18:41Z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