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eastAsia="仿宋_GB2312"/>
          <w:sz w:val="32"/>
          <w:szCs w:val="32"/>
          <w:lang w:val="en-US" w:eastAsia="zh-CN"/>
        </w:rPr>
      </w:pPr>
      <w:r>
        <w:rPr>
          <w:rFonts w:hint="eastAsia" w:ascii="仿宋_GB2312" w:eastAsia="仿宋_GB2312"/>
          <w:sz w:val="32"/>
          <w:szCs w:val="32"/>
        </w:rPr>
        <w:t>附件</w:t>
      </w:r>
      <w:r>
        <w:rPr>
          <w:rFonts w:hint="eastAsia" w:ascii="仿宋_GB2312" w:eastAsia="仿宋_GB2312"/>
          <w:sz w:val="32"/>
          <w:szCs w:val="32"/>
          <w:lang w:val="en-US" w:eastAsia="zh-CN"/>
        </w:rPr>
        <w:t>1</w:t>
      </w:r>
      <w:bookmarkStart w:id="0" w:name="_GoBack"/>
      <w:bookmarkEnd w:id="0"/>
    </w:p>
    <w:p>
      <w:pPr>
        <w:rPr>
          <w:rFonts w:ascii="黑体" w:hAnsi="华文中宋" w:eastAsia="黑体"/>
          <w:sz w:val="32"/>
          <w:szCs w:val="32"/>
        </w:rPr>
      </w:pPr>
    </w:p>
    <w:p>
      <w:pPr>
        <w:jc w:val="center"/>
        <w:rPr>
          <w:rFonts w:ascii="华文中宋" w:hAnsi="华文中宋" w:eastAsia="华文中宋"/>
          <w:sz w:val="36"/>
          <w:szCs w:val="36"/>
        </w:rPr>
      </w:pPr>
      <w:r>
        <w:rPr>
          <w:rFonts w:hint="eastAsia" w:ascii="华文中宋" w:hAnsi="华文中宋" w:eastAsia="华文中宋"/>
          <w:sz w:val="36"/>
          <w:szCs w:val="36"/>
        </w:rPr>
        <w:t>浙江省2019年传统医学师承和确有专长</w:t>
      </w:r>
    </w:p>
    <w:p>
      <w:pPr>
        <w:jc w:val="center"/>
        <w:rPr>
          <w:rFonts w:ascii="华文中宋" w:hAnsi="华文中宋" w:eastAsia="华文中宋"/>
          <w:sz w:val="36"/>
          <w:szCs w:val="36"/>
        </w:rPr>
      </w:pPr>
      <w:r>
        <w:rPr>
          <w:rFonts w:hint="eastAsia" w:ascii="华文中宋" w:hAnsi="华文中宋" w:eastAsia="华文中宋"/>
          <w:sz w:val="36"/>
          <w:szCs w:val="36"/>
        </w:rPr>
        <w:t>人员考核通告</w:t>
      </w:r>
    </w:p>
    <w:p>
      <w:pPr>
        <w:rPr>
          <w:rFonts w:ascii="仿宋_GB2312" w:hAnsi="华文中宋" w:eastAsia="仿宋_GB2312"/>
          <w:sz w:val="32"/>
          <w:szCs w:val="32"/>
        </w:rPr>
      </w:pP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根据《传统医学师承和确有专长人员医师资格考核考试</w:t>
      </w:r>
      <w:r>
        <w:rPr>
          <w:rFonts w:hint="eastAsia" w:ascii="仿宋_GB2312" w:hAnsi="华文中宋" w:eastAsia="仿宋_GB2312"/>
          <w:spacing w:val="-6"/>
          <w:sz w:val="32"/>
          <w:szCs w:val="32"/>
        </w:rPr>
        <w:t>办法》（原卫生部令第52号）以及《关于印发浙江省以师承方式学习传统医学管理等细则的通知》（浙卫发〔2008〕117号）</w:t>
      </w:r>
      <w:r>
        <w:rPr>
          <w:rFonts w:hint="eastAsia" w:ascii="仿宋_GB2312" w:hAnsi="华文中宋" w:eastAsia="仿宋_GB2312"/>
          <w:sz w:val="32"/>
          <w:szCs w:val="32"/>
        </w:rPr>
        <w:t>的有关规定，现将2019年传统医学师承和确有专长人员考核有关事项通告如下：</w:t>
      </w:r>
    </w:p>
    <w:p>
      <w:pPr>
        <w:ind w:firstLine="640" w:firstLineChars="200"/>
        <w:rPr>
          <w:rFonts w:ascii="黑体" w:hAnsi="华文中宋" w:eastAsia="黑体"/>
          <w:sz w:val="32"/>
          <w:szCs w:val="32"/>
        </w:rPr>
      </w:pPr>
      <w:r>
        <w:rPr>
          <w:rFonts w:hint="eastAsia" w:ascii="黑体" w:hAnsi="华文中宋" w:eastAsia="黑体"/>
          <w:sz w:val="32"/>
          <w:szCs w:val="32"/>
        </w:rPr>
        <w:t>一、报名条件</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（一）申请传统医学师承出师考核的，应当同时具备以下条件：</w:t>
      </w:r>
    </w:p>
    <w:p>
      <w:pPr>
        <w:spacing w:line="600" w:lineRule="exact"/>
        <w:ind w:firstLine="640" w:firstLineChars="200"/>
        <w:rPr>
          <w:rFonts w:ascii="仿宋_GB2312" w:hAnsi="华文中宋" w:eastAsia="仿宋_GB2312"/>
          <w:sz w:val="32"/>
          <w:szCs w:val="32"/>
        </w:rPr>
      </w:pPr>
      <w:r>
        <w:rPr>
          <w:rFonts w:hint="eastAsia" w:ascii="仿宋_GB2312" w:hAnsi="华文中宋" w:eastAsia="仿宋_GB2312"/>
          <w:sz w:val="32"/>
          <w:szCs w:val="32"/>
        </w:rPr>
        <w:t>1．已签订《传统医学师承关系合同书》，并经县级以上公证机关公证的师承人员；</w:t>
      </w:r>
    </w:p>
    <w:p>
      <w:pPr>
        <w:spacing w:line="600" w:lineRule="exact"/>
        <w:ind w:firstLine="640" w:firstLineChars="200"/>
        <w:rPr>
          <w:rFonts w:ascii="仿宋_GB2312" w:hAnsi="华文中宋" w:eastAsia="仿宋_GB2312"/>
          <w:sz w:val="32"/>
          <w:szCs w:val="32"/>
        </w:rPr>
      </w:pPr>
      <w:r>
        <w:rPr>
          <w:rFonts w:hint="eastAsia" w:ascii="仿宋_GB2312" w:hAnsi="华文中宋" w:eastAsia="仿宋_GB2312"/>
          <w:sz w:val="32"/>
          <w:szCs w:val="32"/>
        </w:rPr>
        <w:t>2．自公证之日起至2019年8月31日前满三年的；</w:t>
      </w:r>
    </w:p>
    <w:p>
      <w:pPr>
        <w:spacing w:line="600" w:lineRule="exact"/>
        <w:ind w:firstLine="640" w:firstLineChars="200"/>
        <w:rPr>
          <w:rFonts w:ascii="仿宋_GB2312" w:hAnsi="华文中宋" w:eastAsia="仿宋_GB2312"/>
          <w:sz w:val="32"/>
          <w:szCs w:val="32"/>
        </w:rPr>
      </w:pPr>
      <w:r>
        <w:rPr>
          <w:rFonts w:hint="eastAsia" w:ascii="仿宋_GB2312" w:hAnsi="华文中宋" w:eastAsia="仿宋_GB2312"/>
          <w:sz w:val="32"/>
          <w:szCs w:val="32"/>
        </w:rPr>
        <w:t>3．已完成师承学习任务的；</w:t>
      </w:r>
    </w:p>
    <w:p>
      <w:pPr>
        <w:spacing w:line="600" w:lineRule="exact"/>
        <w:ind w:firstLine="640" w:firstLineChars="200"/>
        <w:rPr>
          <w:rFonts w:ascii="仿宋_GB2312" w:hAnsi="华文中宋" w:eastAsia="仿宋_GB2312"/>
          <w:sz w:val="32"/>
          <w:szCs w:val="32"/>
        </w:rPr>
      </w:pPr>
      <w:r>
        <w:rPr>
          <w:rFonts w:hint="eastAsia" w:ascii="仿宋_GB2312" w:hAnsi="华文中宋" w:eastAsia="仿宋_GB2312"/>
          <w:sz w:val="32"/>
          <w:szCs w:val="32"/>
        </w:rPr>
        <w:t>4．符合《浙江省以师承方式学习传统医学管理细则》其他有关要求。</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（二）申请传统医学确有专长考核的，应当同时具备以下条件：</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1．依法从事传统医学临床实践5年以上；</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2．掌握独具特色、安全有效的传统医学诊疗技术。</w:t>
      </w:r>
    </w:p>
    <w:p>
      <w:pPr>
        <w:ind w:firstLine="640" w:firstLineChars="200"/>
        <w:rPr>
          <w:rFonts w:ascii="黑体" w:hAnsi="华文中宋" w:eastAsia="黑体"/>
          <w:sz w:val="32"/>
          <w:szCs w:val="32"/>
        </w:rPr>
      </w:pPr>
      <w:r>
        <w:rPr>
          <w:rFonts w:hint="eastAsia" w:ascii="黑体" w:hAnsi="华文中宋" w:eastAsia="黑体"/>
          <w:sz w:val="32"/>
          <w:szCs w:val="32"/>
        </w:rPr>
        <w:t>二、报名时间及地点</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（一）报名时间：2019年2月25日—3月8日。</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（二）报名地点：传统医学师承考核申请人携带相关材料到师承指导老师主要执业机构所在市、县级</w:t>
      </w:r>
      <w:r>
        <w:rPr>
          <w:rFonts w:hint="eastAsia" w:ascii="仿宋_GB2312" w:eastAsia="仿宋_GB2312"/>
          <w:sz w:val="32"/>
          <w:szCs w:val="32"/>
        </w:rPr>
        <w:t>卫生计生</w:t>
      </w:r>
      <w:r>
        <w:rPr>
          <w:rFonts w:hint="eastAsia" w:ascii="仿宋_GB2312" w:hAnsi="华文中宋" w:eastAsia="仿宋_GB2312"/>
          <w:sz w:val="32"/>
          <w:szCs w:val="32"/>
        </w:rPr>
        <w:t>行政部门报名；传统医学确有专长考核申请人携带相关材料到户籍所在市、县级</w:t>
      </w:r>
      <w:r>
        <w:rPr>
          <w:rFonts w:hint="eastAsia" w:ascii="仿宋_GB2312" w:eastAsia="仿宋_GB2312"/>
          <w:sz w:val="32"/>
          <w:szCs w:val="32"/>
        </w:rPr>
        <w:t>卫生计生</w:t>
      </w:r>
      <w:r>
        <w:rPr>
          <w:rFonts w:hint="eastAsia" w:ascii="仿宋_GB2312" w:hAnsi="华文中宋" w:eastAsia="仿宋_GB2312"/>
          <w:sz w:val="32"/>
          <w:szCs w:val="32"/>
        </w:rPr>
        <w:t>行政部门报名，不得跨考点报名，一经发现将取消考核资格。</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（三）指导老师为省级医疗卫生单位的传统医学师承考核申请人直接到浙江中医药大学报名（地址：杭州市滨江区滨文路548号），联系人：张红英，电话：0571-86633029。</w:t>
      </w:r>
    </w:p>
    <w:p>
      <w:pPr>
        <w:ind w:firstLine="640" w:firstLineChars="200"/>
        <w:rPr>
          <w:rFonts w:ascii="黑体" w:hAnsi="华文中宋" w:eastAsia="黑体"/>
          <w:sz w:val="32"/>
          <w:szCs w:val="32"/>
        </w:rPr>
      </w:pPr>
      <w:r>
        <w:rPr>
          <w:rFonts w:hint="eastAsia" w:ascii="黑体" w:hAnsi="华文中宋" w:eastAsia="黑体"/>
          <w:sz w:val="32"/>
          <w:szCs w:val="32"/>
        </w:rPr>
        <w:t>三、考核方式、内容、时间及地点</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考核方式及内容：严格按照《浙江省以师承方式学习传统医学管理细则》和《浙江省传统医学确有专长人员考核实施细则》有关规定和要求执行。</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考核时间、地点：2019年4月13日—14日，统一集中到杭州考试（具体考试时间和地点以准考证为准），请考生密切关注各考点考核公告。</w:t>
      </w:r>
    </w:p>
    <w:p>
      <w:pPr>
        <w:ind w:firstLine="640" w:firstLineChars="200"/>
        <w:rPr>
          <w:rFonts w:ascii="黑体" w:hAnsi="华文中宋" w:eastAsia="黑体"/>
          <w:sz w:val="32"/>
          <w:szCs w:val="32"/>
        </w:rPr>
      </w:pPr>
      <w:r>
        <w:rPr>
          <w:rFonts w:hint="eastAsia" w:ascii="黑体" w:hAnsi="华文中宋" w:eastAsia="黑体"/>
          <w:sz w:val="32"/>
          <w:szCs w:val="32"/>
        </w:rPr>
        <w:t>四、申请考核需要提交的材料</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（一）申请传统医学师承出师考核人员：</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1．《传统医学师承出师考核申请表》；</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2．经县级以上公证机关公证的《传统医学师承关系合同书》；</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3．申请人身份证原件及复印件；</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4．申请人二寸近期免冠正面半身照片2张；</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5．申请人学历或学力证明；</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6．指导老师医师资格证书、医师执业证书，副高以上专业技术职务任职资格证书或者核准其执业的卫生计生行政部门、中医药管理部门出具的从事中医、民族医临床工作15年以上的证明；</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7．指导老师主要执业机构出具的同意作为指导老师及已抽查学习笔记和检查临床实践记录的证明；</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8．指导老师出具的跟师学习合格证明材料。</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9．其他有关材料。</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（二）申请传统医学确有专长考核人员：</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1．《传统医学医术确有专长考核申请表》；</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2．申请人身份证原件及复印件；</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3．申请人二寸免冠正面半身照片2张；</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4．申请人所在地县级卫生计生行政部门出具的证明其从事传统医学临床实践年限的材料；</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5．两名以上执业医师出具的证明其掌握独具特色、安全有效的传统医学诊疗技术的材料；</w:t>
      </w:r>
    </w:p>
    <w:p>
      <w:pPr>
        <w:ind w:firstLine="640" w:firstLineChars="200"/>
        <w:rPr>
          <w:rFonts w:ascii="仿宋_GB2312" w:hAnsi="华文中宋" w:eastAsia="仿宋_GB2312"/>
          <w:sz w:val="32"/>
          <w:szCs w:val="32"/>
        </w:rPr>
      </w:pPr>
      <w:r>
        <w:rPr>
          <w:rFonts w:hint="eastAsia" w:ascii="仿宋_GB2312" w:eastAsia="仿宋_GB2312"/>
          <w:sz w:val="32"/>
          <w:szCs w:val="32"/>
        </w:rPr>
        <w:t>6．1998年6月26日前，经我省县级以上（含县级）卫生、中医药行政部门批准取得中医（民族医）专业有效行医资格的证明材料。</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7．市级卫生计生行政部门、中医药管理部门要求提供的其他材料。</w:t>
      </w:r>
    </w:p>
    <w:p>
      <w:pPr>
        <w:spacing w:line="600" w:lineRule="exact"/>
        <w:ind w:firstLine="640" w:firstLineChars="200"/>
        <w:rPr>
          <w:rFonts w:ascii="黑体" w:hAnsi="华文中宋" w:eastAsia="黑体"/>
          <w:sz w:val="32"/>
          <w:szCs w:val="32"/>
        </w:rPr>
      </w:pPr>
      <w:r>
        <w:rPr>
          <w:rFonts w:hint="eastAsia" w:ascii="黑体" w:hAnsi="华文中宋" w:eastAsia="黑体"/>
          <w:sz w:val="32"/>
          <w:szCs w:val="32"/>
        </w:rPr>
        <w:t>五、其他说明</w:t>
      </w:r>
    </w:p>
    <w:p>
      <w:pPr>
        <w:spacing w:line="600" w:lineRule="exact"/>
        <w:ind w:firstLine="640" w:firstLineChars="200"/>
        <w:rPr>
          <w:rFonts w:ascii="仿宋_GB2312" w:hAnsi="华文中宋" w:eastAsia="仿宋_GB2312"/>
          <w:sz w:val="32"/>
          <w:szCs w:val="32"/>
        </w:rPr>
      </w:pPr>
      <w:r>
        <w:rPr>
          <w:rFonts w:hint="eastAsia" w:ascii="仿宋_GB2312" w:hAnsi="华文中宋" w:eastAsia="仿宋_GB2312"/>
          <w:sz w:val="32"/>
          <w:szCs w:val="32"/>
        </w:rPr>
        <w:t>2018年参加传统医学师承和确有专长考核临床实践技能考核合格成绩2019年继续有效，仅需要参加综合笔试即可。具体名单如下：</w:t>
      </w:r>
    </w:p>
    <w:tbl>
      <w:tblPr>
        <w:tblStyle w:val="6"/>
        <w:tblW w:w="72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880"/>
        <w:gridCol w:w="3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40" w:type="dxa"/>
            <w:vAlign w:val="center"/>
          </w:tcPr>
          <w:p>
            <w:pPr>
              <w:jc w:val="cente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地区</w:t>
            </w:r>
          </w:p>
        </w:tc>
        <w:tc>
          <w:tcPr>
            <w:tcW w:w="1880" w:type="dxa"/>
            <w:vAlign w:val="center"/>
          </w:tcPr>
          <w:p>
            <w:pPr>
              <w:jc w:val="cente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姓  名</w:t>
            </w:r>
          </w:p>
        </w:tc>
        <w:tc>
          <w:tcPr>
            <w:tcW w:w="3893" w:type="dxa"/>
            <w:vAlign w:val="center"/>
          </w:tcPr>
          <w:p>
            <w:pPr>
              <w:jc w:val="cente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临床实践技能考核成绩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40" w:type="dxa"/>
            <w:vAlign w:val="center"/>
          </w:tcPr>
          <w:p>
            <w:pPr>
              <w:jc w:val="center"/>
              <w:rPr>
                <w:rFonts w:ascii="仿宋_GB2312" w:hAnsi="宋体" w:eastAsia="仿宋_GB2312" w:cs="宋体"/>
                <w:sz w:val="32"/>
                <w:szCs w:val="32"/>
              </w:rPr>
            </w:pPr>
            <w:r>
              <w:rPr>
                <w:rFonts w:hint="eastAsia" w:ascii="仿宋_GB2312" w:eastAsia="仿宋_GB2312"/>
                <w:sz w:val="32"/>
                <w:szCs w:val="32"/>
              </w:rPr>
              <w:t>杭州</w:t>
            </w:r>
          </w:p>
        </w:tc>
        <w:tc>
          <w:tcPr>
            <w:tcW w:w="1880" w:type="dxa"/>
            <w:vAlign w:val="bottom"/>
          </w:tcPr>
          <w:p>
            <w:pPr>
              <w:jc w:val="center"/>
              <w:rPr>
                <w:rFonts w:ascii="仿宋_GB2312" w:hAnsi="宋体" w:eastAsia="仿宋_GB2312" w:cs="宋体"/>
                <w:sz w:val="32"/>
                <w:szCs w:val="32"/>
              </w:rPr>
            </w:pPr>
            <w:r>
              <w:rPr>
                <w:rFonts w:hint="eastAsia" w:ascii="仿宋_GB2312" w:eastAsia="仿宋_GB2312"/>
                <w:sz w:val="32"/>
                <w:szCs w:val="32"/>
              </w:rPr>
              <w:t>钟福强</w:t>
            </w:r>
          </w:p>
        </w:tc>
        <w:tc>
          <w:tcPr>
            <w:tcW w:w="3893" w:type="dxa"/>
            <w:vAlign w:val="center"/>
          </w:tcPr>
          <w:p>
            <w:pPr>
              <w:jc w:val="cente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40" w:type="dxa"/>
            <w:vAlign w:val="center"/>
          </w:tcPr>
          <w:p>
            <w:pPr>
              <w:jc w:val="center"/>
              <w:rPr>
                <w:rFonts w:ascii="仿宋_GB2312" w:hAnsi="宋体" w:eastAsia="仿宋_GB2312" w:cs="宋体"/>
                <w:sz w:val="32"/>
                <w:szCs w:val="32"/>
              </w:rPr>
            </w:pPr>
            <w:r>
              <w:rPr>
                <w:rFonts w:hint="eastAsia" w:ascii="仿宋_GB2312" w:eastAsia="仿宋_GB2312"/>
                <w:sz w:val="32"/>
                <w:szCs w:val="32"/>
              </w:rPr>
              <w:t>杭州</w:t>
            </w:r>
          </w:p>
        </w:tc>
        <w:tc>
          <w:tcPr>
            <w:tcW w:w="1880" w:type="dxa"/>
            <w:vAlign w:val="bottom"/>
          </w:tcPr>
          <w:p>
            <w:pPr>
              <w:jc w:val="center"/>
              <w:rPr>
                <w:rFonts w:ascii="仿宋_GB2312" w:hAnsi="宋体" w:eastAsia="仿宋_GB2312" w:cs="宋体"/>
                <w:sz w:val="32"/>
                <w:szCs w:val="32"/>
              </w:rPr>
            </w:pPr>
            <w:r>
              <w:rPr>
                <w:rFonts w:hint="eastAsia" w:ascii="仿宋_GB2312" w:eastAsia="仿宋_GB2312"/>
                <w:sz w:val="32"/>
                <w:szCs w:val="32"/>
              </w:rPr>
              <w:t>陈建龙</w:t>
            </w:r>
          </w:p>
        </w:tc>
        <w:tc>
          <w:tcPr>
            <w:tcW w:w="3893" w:type="dxa"/>
            <w:vAlign w:val="center"/>
          </w:tcPr>
          <w:p>
            <w:pPr>
              <w:jc w:val="cente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40" w:type="dxa"/>
            <w:vAlign w:val="bottom"/>
          </w:tcPr>
          <w:p>
            <w:pPr>
              <w:jc w:val="center"/>
              <w:rPr>
                <w:rFonts w:ascii="仿宋_GB2312" w:hAnsi="宋体" w:eastAsia="仿宋_GB2312" w:cs="宋体"/>
                <w:sz w:val="32"/>
                <w:szCs w:val="32"/>
              </w:rPr>
            </w:pPr>
            <w:r>
              <w:rPr>
                <w:rFonts w:hint="eastAsia" w:ascii="仿宋_GB2312" w:hAnsi="宋体" w:eastAsia="仿宋_GB2312" w:cs="宋体"/>
                <w:sz w:val="32"/>
                <w:szCs w:val="32"/>
              </w:rPr>
              <w:t>杭州</w:t>
            </w:r>
          </w:p>
        </w:tc>
        <w:tc>
          <w:tcPr>
            <w:tcW w:w="1880" w:type="dxa"/>
            <w:vAlign w:val="bottom"/>
          </w:tcPr>
          <w:p>
            <w:pPr>
              <w:jc w:val="center"/>
              <w:rPr>
                <w:rFonts w:ascii="仿宋_GB2312" w:hAnsi="宋体" w:eastAsia="仿宋_GB2312" w:cs="宋体"/>
                <w:sz w:val="32"/>
                <w:szCs w:val="32"/>
              </w:rPr>
            </w:pPr>
            <w:r>
              <w:rPr>
                <w:rFonts w:hint="eastAsia" w:ascii="仿宋_GB2312" w:hAnsi="宋体" w:eastAsia="仿宋_GB2312" w:cs="宋体"/>
                <w:sz w:val="32"/>
                <w:szCs w:val="32"/>
              </w:rPr>
              <w:t>乐顺清</w:t>
            </w:r>
          </w:p>
        </w:tc>
        <w:tc>
          <w:tcPr>
            <w:tcW w:w="3893" w:type="dxa"/>
            <w:vAlign w:val="center"/>
          </w:tcPr>
          <w:p>
            <w:pPr>
              <w:jc w:val="cente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40" w:type="dxa"/>
            <w:vAlign w:val="bottom"/>
          </w:tcPr>
          <w:p>
            <w:pPr>
              <w:jc w:val="center"/>
              <w:rPr>
                <w:rFonts w:ascii="仿宋_GB2312" w:hAnsi="宋体" w:eastAsia="仿宋_GB2312" w:cs="宋体"/>
                <w:sz w:val="32"/>
                <w:szCs w:val="32"/>
              </w:rPr>
            </w:pPr>
            <w:r>
              <w:rPr>
                <w:rFonts w:hint="eastAsia" w:ascii="仿宋_GB2312" w:eastAsia="仿宋_GB2312"/>
                <w:sz w:val="32"/>
                <w:szCs w:val="32"/>
              </w:rPr>
              <w:t>温州</w:t>
            </w:r>
          </w:p>
        </w:tc>
        <w:tc>
          <w:tcPr>
            <w:tcW w:w="1880" w:type="dxa"/>
            <w:vAlign w:val="bottom"/>
          </w:tcPr>
          <w:p>
            <w:pPr>
              <w:jc w:val="center"/>
              <w:rPr>
                <w:rFonts w:ascii="仿宋_GB2312" w:hAnsi="宋体" w:eastAsia="仿宋_GB2312" w:cs="宋体"/>
                <w:sz w:val="32"/>
                <w:szCs w:val="32"/>
              </w:rPr>
            </w:pPr>
            <w:r>
              <w:rPr>
                <w:rFonts w:hint="eastAsia" w:ascii="仿宋_GB2312" w:eastAsia="仿宋_GB2312"/>
                <w:sz w:val="32"/>
                <w:szCs w:val="32"/>
              </w:rPr>
              <w:t>吴立言</w:t>
            </w:r>
          </w:p>
        </w:tc>
        <w:tc>
          <w:tcPr>
            <w:tcW w:w="3893" w:type="dxa"/>
            <w:vAlign w:val="center"/>
          </w:tcPr>
          <w:p>
            <w:pPr>
              <w:jc w:val="center"/>
            </w:pPr>
            <w:r>
              <w:rPr>
                <w:rFonts w:hint="eastAsia" w:ascii="仿宋_GB2312" w:hAnsi="宋体" w:eastAsia="仿宋_GB2312" w:cs="宋体"/>
                <w:color w:val="000000"/>
                <w:kern w:val="0"/>
                <w:sz w:val="32"/>
                <w:szCs w:val="32"/>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40" w:type="dxa"/>
            <w:vAlign w:val="bottom"/>
          </w:tcPr>
          <w:p>
            <w:pPr>
              <w:jc w:val="center"/>
              <w:rPr>
                <w:rFonts w:ascii="仿宋_GB2312" w:hAnsi="宋体" w:eastAsia="仿宋_GB2312" w:cs="宋体"/>
                <w:sz w:val="32"/>
                <w:szCs w:val="32"/>
              </w:rPr>
            </w:pPr>
            <w:r>
              <w:rPr>
                <w:rFonts w:hint="eastAsia" w:ascii="仿宋_GB2312" w:eastAsia="仿宋_GB2312"/>
                <w:sz w:val="32"/>
                <w:szCs w:val="32"/>
              </w:rPr>
              <w:t>绍兴</w:t>
            </w:r>
          </w:p>
        </w:tc>
        <w:tc>
          <w:tcPr>
            <w:tcW w:w="1880" w:type="dxa"/>
            <w:vAlign w:val="bottom"/>
          </w:tcPr>
          <w:p>
            <w:pPr>
              <w:jc w:val="center"/>
              <w:rPr>
                <w:rFonts w:ascii="仿宋_GB2312" w:hAnsi="宋体" w:eastAsia="仿宋_GB2312" w:cs="宋体"/>
                <w:sz w:val="32"/>
                <w:szCs w:val="32"/>
              </w:rPr>
            </w:pPr>
            <w:r>
              <w:rPr>
                <w:rFonts w:hint="eastAsia" w:ascii="仿宋_GB2312" w:eastAsia="仿宋_GB2312"/>
                <w:sz w:val="32"/>
                <w:szCs w:val="32"/>
              </w:rPr>
              <w:t>李志超</w:t>
            </w:r>
          </w:p>
        </w:tc>
        <w:tc>
          <w:tcPr>
            <w:tcW w:w="3893" w:type="dxa"/>
            <w:vAlign w:val="center"/>
          </w:tcPr>
          <w:p>
            <w:pPr>
              <w:jc w:val="center"/>
            </w:pPr>
            <w:r>
              <w:rPr>
                <w:rFonts w:hint="eastAsia" w:ascii="仿宋_GB2312" w:hAnsi="宋体" w:eastAsia="仿宋_GB2312" w:cs="宋体"/>
                <w:color w:val="000000"/>
                <w:kern w:val="0"/>
                <w:sz w:val="32"/>
                <w:szCs w:val="32"/>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40" w:type="dxa"/>
            <w:vAlign w:val="bottom"/>
          </w:tcPr>
          <w:p>
            <w:pPr>
              <w:jc w:val="center"/>
              <w:rPr>
                <w:rFonts w:ascii="仿宋_GB2312" w:hAnsi="宋体" w:eastAsia="仿宋_GB2312" w:cs="宋体"/>
                <w:sz w:val="32"/>
                <w:szCs w:val="32"/>
              </w:rPr>
            </w:pPr>
            <w:r>
              <w:rPr>
                <w:rFonts w:hint="eastAsia" w:ascii="仿宋_GB2312" w:hAnsi="宋体" w:eastAsia="仿宋_GB2312" w:cs="宋体"/>
                <w:sz w:val="32"/>
                <w:szCs w:val="32"/>
              </w:rPr>
              <w:t>台州</w:t>
            </w:r>
          </w:p>
        </w:tc>
        <w:tc>
          <w:tcPr>
            <w:tcW w:w="1880" w:type="dxa"/>
            <w:vAlign w:val="bottom"/>
          </w:tcPr>
          <w:p>
            <w:pPr>
              <w:jc w:val="center"/>
              <w:rPr>
                <w:rFonts w:ascii="仿宋_GB2312" w:hAnsi="宋体" w:eastAsia="仿宋_GB2312" w:cs="宋体"/>
                <w:sz w:val="32"/>
                <w:szCs w:val="32"/>
              </w:rPr>
            </w:pPr>
            <w:r>
              <w:rPr>
                <w:rFonts w:hint="eastAsia" w:ascii="仿宋_GB2312" w:hAnsi="宋体" w:eastAsia="仿宋_GB2312" w:cs="宋体"/>
                <w:sz w:val="32"/>
                <w:szCs w:val="32"/>
              </w:rPr>
              <w:t>毛梦虎</w:t>
            </w:r>
          </w:p>
        </w:tc>
        <w:tc>
          <w:tcPr>
            <w:tcW w:w="3893" w:type="dxa"/>
            <w:vAlign w:val="center"/>
          </w:tcPr>
          <w:p>
            <w:pPr>
              <w:jc w:val="cente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40" w:type="dxa"/>
            <w:vAlign w:val="bottom"/>
          </w:tcPr>
          <w:p>
            <w:pPr>
              <w:jc w:val="center"/>
              <w:rPr>
                <w:rFonts w:ascii="仿宋_GB2312" w:hAnsi="宋体" w:eastAsia="仿宋_GB2312" w:cs="宋体"/>
                <w:sz w:val="32"/>
                <w:szCs w:val="32"/>
              </w:rPr>
            </w:pPr>
            <w:r>
              <w:rPr>
                <w:rFonts w:hint="eastAsia" w:ascii="仿宋_GB2312" w:hAnsi="宋体" w:eastAsia="仿宋_GB2312" w:cs="宋体"/>
                <w:sz w:val="32"/>
                <w:szCs w:val="32"/>
              </w:rPr>
              <w:t>台州</w:t>
            </w:r>
          </w:p>
        </w:tc>
        <w:tc>
          <w:tcPr>
            <w:tcW w:w="1880" w:type="dxa"/>
            <w:vAlign w:val="bottom"/>
          </w:tcPr>
          <w:p>
            <w:pPr>
              <w:jc w:val="center"/>
              <w:rPr>
                <w:rFonts w:ascii="仿宋_GB2312" w:hAnsi="宋体" w:eastAsia="仿宋_GB2312" w:cs="宋体"/>
                <w:sz w:val="32"/>
                <w:szCs w:val="32"/>
              </w:rPr>
            </w:pPr>
            <w:r>
              <w:rPr>
                <w:rFonts w:hint="eastAsia" w:ascii="仿宋_GB2312" w:hAnsi="宋体" w:eastAsia="仿宋_GB2312" w:cs="宋体"/>
                <w:sz w:val="32"/>
                <w:szCs w:val="32"/>
              </w:rPr>
              <w:t>赵西妹</w:t>
            </w:r>
          </w:p>
        </w:tc>
        <w:tc>
          <w:tcPr>
            <w:tcW w:w="3893" w:type="dxa"/>
            <w:vAlign w:val="center"/>
          </w:tcPr>
          <w:p>
            <w:pPr>
              <w:jc w:val="cente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合格</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 w:name="文鼎小标宋简">
    <w:altName w:val="Arial Unicode MS"/>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548" w:wrap="around" w:vAnchor="text" w:hAnchor="margin" w:xAlign="outside" w:y="1" w:anchorLock="1"/>
      <w:rPr>
        <w:rStyle w:val="5"/>
        <w:rFonts w:ascii="宋体"/>
        <w:sz w:val="28"/>
        <w:szCs w:val="28"/>
      </w:rPr>
    </w:pPr>
    <w:r>
      <w:rPr>
        <w:rStyle w:val="5"/>
        <w:rFonts w:ascii="宋体"/>
        <w:sz w:val="28"/>
        <w:szCs w:val="28"/>
      </w:rPr>
      <w:t xml:space="preserve">  </w:t>
    </w:r>
    <w:r>
      <w:rPr>
        <w:rStyle w:val="5"/>
        <w:rFonts w:hint="eastAsia" w:ascii="宋体"/>
        <w:sz w:val="28"/>
        <w:szCs w:val="28"/>
      </w:rPr>
      <w:t>－</w:t>
    </w:r>
    <w:r>
      <w:rPr>
        <w:rStyle w:val="5"/>
        <w:rFonts w:ascii="宋体"/>
        <w:sz w:val="28"/>
        <w:szCs w:val="28"/>
      </w:rPr>
      <w:t xml:space="preserve"> </w:t>
    </w:r>
    <w:r>
      <w:rPr>
        <w:rStyle w:val="5"/>
        <w:rFonts w:ascii="宋体"/>
        <w:sz w:val="28"/>
        <w:szCs w:val="28"/>
      </w:rPr>
      <w:fldChar w:fldCharType="begin"/>
    </w:r>
    <w:r>
      <w:rPr>
        <w:rStyle w:val="5"/>
        <w:rFonts w:ascii="宋体"/>
        <w:sz w:val="28"/>
        <w:szCs w:val="28"/>
      </w:rPr>
      <w:instrText xml:space="preserve">PAGE  </w:instrText>
    </w:r>
    <w:r>
      <w:rPr>
        <w:rStyle w:val="5"/>
        <w:rFonts w:ascii="宋体"/>
        <w:sz w:val="28"/>
        <w:szCs w:val="28"/>
      </w:rPr>
      <w:fldChar w:fldCharType="separate"/>
    </w:r>
    <w:r>
      <w:rPr>
        <w:rStyle w:val="5"/>
        <w:rFonts w:ascii="宋体"/>
        <w:sz w:val="28"/>
        <w:szCs w:val="28"/>
      </w:rPr>
      <w:t>4</w:t>
    </w:r>
    <w:r>
      <w:rPr>
        <w:rStyle w:val="5"/>
        <w:rFonts w:ascii="宋体"/>
        <w:sz w:val="28"/>
        <w:szCs w:val="28"/>
      </w:rPr>
      <w:fldChar w:fldCharType="end"/>
    </w:r>
    <w:r>
      <w:rPr>
        <w:rStyle w:val="5"/>
        <w:rFonts w:ascii="宋体"/>
        <w:sz w:val="28"/>
        <w:szCs w:val="28"/>
      </w:rPr>
      <w:t xml:space="preserve"> </w:t>
    </w:r>
    <w:r>
      <w:rPr>
        <w:rStyle w:val="5"/>
        <w:rFonts w:hint="eastAsia" w:ascii="宋体"/>
        <w:sz w:val="28"/>
        <w:szCs w:val="28"/>
      </w:rPr>
      <w:t>－</w:t>
    </w:r>
  </w:p>
  <w:p>
    <w:pPr>
      <w:pStyle w:val="2"/>
      <w:jc w:val="right"/>
      <w:rPr>
        <w:sz w:val="32"/>
        <w:szCs w:val="3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559"/>
    <w:rsid w:val="000226C9"/>
    <w:rsid w:val="00030DA1"/>
    <w:rsid w:val="0005745D"/>
    <w:rsid w:val="000D5AEE"/>
    <w:rsid w:val="000E6840"/>
    <w:rsid w:val="001072E7"/>
    <w:rsid w:val="00160C30"/>
    <w:rsid w:val="00165918"/>
    <w:rsid w:val="001F1635"/>
    <w:rsid w:val="00227E83"/>
    <w:rsid w:val="002339D0"/>
    <w:rsid w:val="00265AF9"/>
    <w:rsid w:val="002D1707"/>
    <w:rsid w:val="002D357E"/>
    <w:rsid w:val="003B7009"/>
    <w:rsid w:val="003D483A"/>
    <w:rsid w:val="003F1AF5"/>
    <w:rsid w:val="0042341F"/>
    <w:rsid w:val="0043089D"/>
    <w:rsid w:val="00452B6D"/>
    <w:rsid w:val="00483132"/>
    <w:rsid w:val="004A6559"/>
    <w:rsid w:val="00574CFF"/>
    <w:rsid w:val="005E734D"/>
    <w:rsid w:val="00603C07"/>
    <w:rsid w:val="006249BC"/>
    <w:rsid w:val="00640623"/>
    <w:rsid w:val="006D495A"/>
    <w:rsid w:val="007443A1"/>
    <w:rsid w:val="00755613"/>
    <w:rsid w:val="007832F7"/>
    <w:rsid w:val="00793AE4"/>
    <w:rsid w:val="007A5B8E"/>
    <w:rsid w:val="007B019E"/>
    <w:rsid w:val="008413C2"/>
    <w:rsid w:val="00854DD5"/>
    <w:rsid w:val="0086213D"/>
    <w:rsid w:val="008C4058"/>
    <w:rsid w:val="008D6F57"/>
    <w:rsid w:val="008F630E"/>
    <w:rsid w:val="00911906"/>
    <w:rsid w:val="00927370"/>
    <w:rsid w:val="00953067"/>
    <w:rsid w:val="009800BD"/>
    <w:rsid w:val="009940E4"/>
    <w:rsid w:val="009A3CAB"/>
    <w:rsid w:val="009D3EE3"/>
    <w:rsid w:val="00A17865"/>
    <w:rsid w:val="00A9176E"/>
    <w:rsid w:val="00AA78BB"/>
    <w:rsid w:val="00AC3AFF"/>
    <w:rsid w:val="00AC4321"/>
    <w:rsid w:val="00B537F9"/>
    <w:rsid w:val="00B63B53"/>
    <w:rsid w:val="00B85A07"/>
    <w:rsid w:val="00C111B7"/>
    <w:rsid w:val="00C25A81"/>
    <w:rsid w:val="00C26BD0"/>
    <w:rsid w:val="00CD725A"/>
    <w:rsid w:val="00D30305"/>
    <w:rsid w:val="00D377EB"/>
    <w:rsid w:val="00D526C4"/>
    <w:rsid w:val="00DC3025"/>
    <w:rsid w:val="00DE5CA2"/>
    <w:rsid w:val="00E21B83"/>
    <w:rsid w:val="00E624E6"/>
    <w:rsid w:val="00EA0DD8"/>
    <w:rsid w:val="00F42E63"/>
    <w:rsid w:val="00F5648F"/>
    <w:rsid w:val="00F82685"/>
    <w:rsid w:val="00FA48D3"/>
    <w:rsid w:val="00FC4B82"/>
    <w:rsid w:val="7F2F7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0"/>
  </w:style>
  <w:style w:type="character" w:customStyle="1" w:styleId="7">
    <w:name w:val="页脚 Char"/>
    <w:basedOn w:val="4"/>
    <w:link w:val="2"/>
    <w:uiPriority w:val="0"/>
    <w:rPr>
      <w:rFonts w:ascii="Times New Roman" w:hAnsi="Times New Roman" w:eastAsia="宋体" w:cs="Times New Roman"/>
      <w:sz w:val="18"/>
      <w:szCs w:val="18"/>
    </w:rPr>
  </w:style>
  <w:style w:type="character" w:customStyle="1" w:styleId="8">
    <w:name w:val="页眉 Char"/>
    <w:basedOn w:val="4"/>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304</Words>
  <Characters>1737</Characters>
  <Lines>14</Lines>
  <Paragraphs>4</Paragraphs>
  <TotalTime>306</TotalTime>
  <ScaleCrop>false</ScaleCrop>
  <LinksUpToDate>false</LinksUpToDate>
  <CharactersWithSpaces>2037</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2015-12-02T01:51:00Z</dcterms:created>
  <dc:creator>Lenovo</dc:creator>
  <cp:lastModifiedBy>平凡的小市民</cp:lastModifiedBy>
  <cp:lastPrinted>2016-01-05T06:01:00Z</cp:lastPrinted>
  <dcterms:modified xsi:type="dcterms:W3CDTF">2019-01-25T02:33:55Z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