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药理学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十三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996063" w:rsidRPr="00996063" w:rsidRDefault="000D5E57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下列哪个参数最能表示药物的安全性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A.最小有效量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B.极量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C.半数致死量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D.半数有效量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E.治疗指数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一级消除动力学的特点为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A.药物的半衰期不是恒定值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B.为一种少数药物的消除方式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C.单位时间内实际消除的药量随时间递减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D.为一种恒速消除动力学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E.其消除速度与初始血药浓度高低有关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有机磷农药中毒的机制是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A.抑制磷酸二酯酶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B.抑制单胺氧化酶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C.抑制胆碱酯酶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D.抑制腺苷酸环化酶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E.直接激动胆碱受体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阿托品的不良反应为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A.瞳孔轻度扩大、视近物清楚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B.肠蠕动增加、腹泻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C.心率加快、血压升高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D.汗液、唾液分泌增加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E.中枢兴奋、呼吸加快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青霉素类引起的过敏性休克首选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A.去甲肾上腺素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B.异丙肾上腺素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C.肾上腺素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D.多巴胺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E.麻黄碱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苯二氮类与巴比妥类共同的特点不包括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A.都具有抗惊厥、抗癫痫作用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B.都具有镇静催眠作用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C.都具有抗焦虑作用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D.剂量加大都有麻醉作用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E.可致乏力、困倦、嗜睡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长期应用氯丙嗪，最常见的副作用是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A.体位性低血压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B.过敏反应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C.锥体外系反应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D.内分泌障碍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E.消化系症状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变异型心绞痛患者的首选药物是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A.胺碘酮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/>
          <w:color w:val="000000" w:themeColor="text1"/>
          <w:sz w:val="24"/>
          <w:szCs w:val="24"/>
        </w:rPr>
        <w:t>B.ACEI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C.利多卡因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D.硝苯地平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E.普</w:t>
      </w:r>
      <w:proofErr w:type="gramStart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萘洛</w:t>
      </w:r>
      <w:proofErr w:type="gramEnd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尔</w:t>
      </w:r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广谱抗心律失常药是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A.利多卡因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B.普</w:t>
      </w:r>
      <w:proofErr w:type="gramStart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萘洛</w:t>
      </w:r>
      <w:proofErr w:type="gramEnd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尔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C.胺碘酮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</w:t>
      </w:r>
      <w:proofErr w:type="gramStart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奎</w:t>
      </w:r>
      <w:proofErr w:type="gramEnd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尼丁</w:t>
      </w:r>
    </w:p>
    <w:p w:rsidR="009B604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E.普</w:t>
      </w:r>
      <w:proofErr w:type="gramStart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鲁帕酮</w:t>
      </w:r>
      <w:proofErr w:type="gramEnd"/>
    </w:p>
    <w:p w:rsidR="00996063" w:rsidRDefault="0099606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96063" w:rsidRPr="00996063" w:rsidRDefault="009B604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异烟肼的抗菌作用特点是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A.对静止期结核杆菌无抑菌作用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B.对其他细菌也有效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C.对细胞内的结核杆菌也有杀菌作用</w:t>
      </w:r>
    </w:p>
    <w:p w:rsidR="00996063" w:rsidRPr="00996063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D.单用不易产生耐药性</w:t>
      </w:r>
    </w:p>
    <w:p w:rsidR="000D5E57" w:rsidRDefault="00996063" w:rsidP="0099606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E.与其他</w:t>
      </w:r>
      <w:proofErr w:type="gramStart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同类药间有</w:t>
      </w:r>
      <w:proofErr w:type="gramEnd"/>
      <w:r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交叉耐药性</w:t>
      </w: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药物的半数致死量（LD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50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）和半数有效量（ED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50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）的比值成为治疗指数。此数值越大越安全。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一级消除动力学的特点为恒比消除，血浆中药物消除速率与血浆中药物浓度成正比，血药浓度越高，单位时间内消除的</w:t>
      </w:r>
      <w:proofErr w:type="gramStart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药量越</w:t>
      </w:r>
      <w:proofErr w:type="gramEnd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多，血药浓度降低，药物消除速率按比例下降。药物消除的半衰期是恒定的，不因血药浓度的高低而变化，是临床应用的大多数药物的消除方式。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有机磷农药的毒作用机制主要是抑制胆碱酯酶活性，使其失去分解乙酰胆碱的能力，造成乙酰胆碱的堆积，引起神经功能紊乱。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阿托品常见的不良反应为口干、视近物模糊、瞳孔扩大、便秘等。过量中毒时可出现中枢兴奋、呼吸加深加快、惊厥等。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肾上腺素可收缩小动脉和毛细血管前括约肌，降低毛细血管的通透性；改善心功能，缓解支气管痉挛；减少过敏介质释放，扩张冠状动脉，从而迅速缓解过敏性休克的临床症状，挽救病人的生命，为治疗过敏性休克的首选药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苯二</w:t>
      </w:r>
      <w:proofErr w:type="gramStart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氮卓类</w:t>
      </w:r>
      <w:proofErr w:type="gramEnd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的药理作用及临床应用：①抗焦虑作用；②镇静催眠作用；③抗惊厥、抗癫痫作用；④中枢性肌肉松弛作用；⑤较大剂量可致暂时性记忆缺失。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锥体外系反应：①帕金森综合征</w:t>
      </w:r>
      <w:proofErr w:type="gramStart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肌</w:t>
      </w:r>
      <w:proofErr w:type="gramEnd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张力增高，面部表情呆板，动作迟缓，肌震颤，流涎等。②急性肌张力障碍多在用药后1～5天出现，可见舌、面、颈背部肌肉痉挛，患者出现强迫性张口、伸舌、斜颈、呼吸运动障碍及吞咽困难。③静坐不能患者出现坐立不安，反复徘徊。④迟发性运动障碍表现为不自主、有节律的刻板运动，如吸吮、</w:t>
      </w:r>
      <w:proofErr w:type="gramStart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舐</w:t>
      </w:r>
      <w:proofErr w:type="gramEnd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舌、咀嚼等。一般认为，上述前三种症状可用中枢抗胆碱药治疗。而迟发性运动障碍可能与氯丙嗪长期阻断突触后DA受体，使DA受体数目增加有关，用抗胆碱药治疗反可使之加重。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心绞痛：钙通道阻滞药对各型心绞痛都有不同程度的疗效。其中变异型心绞痛：硝苯地平疗效最佳。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胺</w:t>
      </w:r>
      <w:proofErr w:type="gramStart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碘酮属</w:t>
      </w:r>
      <w:proofErr w:type="gramEnd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Ⅲ类抗心律失常药。具有轻度非竞争性的α及β肾上腺素受体阻滞剂。且具轻度Ⅰ及Ⅳ类抗心律失常药性质。主要电生理效应是延长各部心肌组织的动作电位及有效不应期，有利于消除折返激动。抑制心房及心肌传导纤维</w:t>
      </w:r>
      <w:proofErr w:type="gramStart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的快钠离子</w:t>
      </w:r>
      <w:proofErr w:type="gramEnd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内流，减慢传导速度。减低窦房结自律性。对静息膜电位及动作电位高度无影响。对房室旁路前向传导的抑制大于逆向。由于复极过度延长，心电图有Q-T间期延长及T波改变。静注有轻度负性</w:t>
      </w:r>
      <w:proofErr w:type="gramStart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肌</w:t>
      </w:r>
      <w:proofErr w:type="gramEnd"/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力作用，但通常不抑制左室功能。对冠状动脉及周围血管有直接扩张作用。可影响甲状腺素代谢。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996063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996063" w:rsidRPr="00996063">
        <w:rPr>
          <w:rFonts w:asciiTheme="minorEastAsia" w:hAnsiTheme="minorEastAsia" w:hint="eastAsia"/>
          <w:color w:val="000000" w:themeColor="text1"/>
          <w:sz w:val="24"/>
          <w:szCs w:val="24"/>
        </w:rPr>
        <w:t>异烟肼对结核杆菌有强大的抗菌作用，对其他细菌无作用。单用异烟肼时，结核杆菌易产生耐药性，该药能渗入细胞内，对细胞内的结核杆菌也有杀菌作用，对静止期结核杆菌也有作用。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7DE" w:rsidRDefault="00A077DE" w:rsidP="000D5E57">
      <w:r>
        <w:separator/>
      </w:r>
    </w:p>
  </w:endnote>
  <w:endnote w:type="continuationSeparator" w:id="0">
    <w:p w:rsidR="00A077DE" w:rsidRDefault="00A077DE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7DE" w:rsidRDefault="00A077DE" w:rsidP="000D5E57">
      <w:r>
        <w:separator/>
      </w:r>
    </w:p>
  </w:footnote>
  <w:footnote w:type="continuationSeparator" w:id="0">
    <w:p w:rsidR="00A077DE" w:rsidRDefault="00A077DE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D5E57"/>
    <w:rsid w:val="001419E1"/>
    <w:rsid w:val="00144FB2"/>
    <w:rsid w:val="00146952"/>
    <w:rsid w:val="00190AEB"/>
    <w:rsid w:val="001951E8"/>
    <w:rsid w:val="003A09F1"/>
    <w:rsid w:val="003D2782"/>
    <w:rsid w:val="0042301D"/>
    <w:rsid w:val="00427604"/>
    <w:rsid w:val="004606F7"/>
    <w:rsid w:val="00534068"/>
    <w:rsid w:val="005B0B77"/>
    <w:rsid w:val="006D6CA0"/>
    <w:rsid w:val="006E2C5B"/>
    <w:rsid w:val="0071025C"/>
    <w:rsid w:val="007458F2"/>
    <w:rsid w:val="008B095D"/>
    <w:rsid w:val="008C0853"/>
    <w:rsid w:val="0098479F"/>
    <w:rsid w:val="009852F3"/>
    <w:rsid w:val="00996063"/>
    <w:rsid w:val="009B6043"/>
    <w:rsid w:val="00A077DE"/>
    <w:rsid w:val="00A90E39"/>
    <w:rsid w:val="00B11E01"/>
    <w:rsid w:val="00B3178A"/>
    <w:rsid w:val="00C048BC"/>
    <w:rsid w:val="00C42353"/>
    <w:rsid w:val="00C56CED"/>
    <w:rsid w:val="00C95C35"/>
    <w:rsid w:val="00CC291F"/>
    <w:rsid w:val="00CF1B85"/>
    <w:rsid w:val="00D03B25"/>
    <w:rsid w:val="00DA781F"/>
    <w:rsid w:val="00DD3F4B"/>
    <w:rsid w:val="00E041A8"/>
    <w:rsid w:val="00E271D9"/>
    <w:rsid w:val="00E61200"/>
    <w:rsid w:val="00E85A43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11</cp:revision>
  <dcterms:created xsi:type="dcterms:W3CDTF">2016-05-05T02:33:00Z</dcterms:created>
  <dcterms:modified xsi:type="dcterms:W3CDTF">2016-11-16T10:56:00Z</dcterms:modified>
</cp:coreProperties>
</file>