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F05A5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儿童保健学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F05A5C">
        <w:rPr>
          <w:rFonts w:asciiTheme="minorEastAsia" w:hAnsiTheme="minorEastAsia" w:hint="eastAsia"/>
          <w:color w:val="000000" w:themeColor="text1"/>
          <w:sz w:val="24"/>
          <w:szCs w:val="24"/>
        </w:rPr>
        <w:t>十</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6F5733" w:rsidRPr="006F5733" w:rsidRDefault="000D5E57" w:rsidP="006F573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6F5733" w:rsidRPr="006F5733">
        <w:rPr>
          <w:rFonts w:asciiTheme="minorEastAsia" w:hAnsiTheme="minorEastAsia" w:hint="eastAsia"/>
          <w:color w:val="000000" w:themeColor="text1"/>
          <w:sz w:val="24"/>
          <w:szCs w:val="24"/>
        </w:rPr>
        <w:t>大于胎龄儿是指出生体重在同胎</w:t>
      </w:r>
      <w:proofErr w:type="gramStart"/>
      <w:r w:rsidR="006F5733" w:rsidRPr="006F5733">
        <w:rPr>
          <w:rFonts w:asciiTheme="minorEastAsia" w:hAnsiTheme="minorEastAsia" w:hint="eastAsia"/>
          <w:color w:val="000000" w:themeColor="text1"/>
          <w:sz w:val="24"/>
          <w:szCs w:val="24"/>
        </w:rPr>
        <w:t>龄</w:t>
      </w:r>
      <w:proofErr w:type="gramEnd"/>
      <w:r w:rsidR="006F5733" w:rsidRPr="006F5733">
        <w:rPr>
          <w:rFonts w:asciiTheme="minorEastAsia" w:hAnsiTheme="minorEastAsia" w:hint="eastAsia"/>
          <w:color w:val="000000" w:themeColor="text1"/>
          <w:sz w:val="24"/>
          <w:szCs w:val="24"/>
        </w:rPr>
        <w:t>体重多少百分位数以上</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color w:val="000000" w:themeColor="text1"/>
          <w:sz w:val="24"/>
          <w:szCs w:val="24"/>
        </w:rPr>
        <w:t>A.90</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color w:val="000000" w:themeColor="text1"/>
          <w:sz w:val="24"/>
          <w:szCs w:val="24"/>
        </w:rPr>
        <w:t>B.80</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color w:val="000000" w:themeColor="text1"/>
          <w:sz w:val="24"/>
          <w:szCs w:val="24"/>
        </w:rPr>
        <w:t>C.85</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color w:val="000000" w:themeColor="text1"/>
          <w:sz w:val="24"/>
          <w:szCs w:val="24"/>
        </w:rPr>
        <w:t>D.70</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color w:val="000000" w:themeColor="text1"/>
          <w:sz w:val="24"/>
          <w:szCs w:val="24"/>
        </w:rPr>
        <w:t>E.75</w:t>
      </w:r>
    </w:p>
    <w:p w:rsidR="00F05A5C" w:rsidRDefault="00F05A5C" w:rsidP="00A811FD">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6F5733" w:rsidRPr="006F5733">
        <w:rPr>
          <w:rFonts w:asciiTheme="minorEastAsia" w:hAnsiTheme="minorEastAsia" w:hint="eastAsia"/>
          <w:color w:val="000000" w:themeColor="text1"/>
          <w:sz w:val="24"/>
          <w:szCs w:val="24"/>
        </w:rPr>
        <w:t>反映儿童近期营养状况最灵敏的指标是</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A.头围</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B.身高</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C.坐高</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D.体重</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E.胸围</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6F5733" w:rsidRPr="006F5733">
        <w:rPr>
          <w:rFonts w:asciiTheme="minorEastAsia" w:hAnsiTheme="minorEastAsia" w:hint="eastAsia"/>
          <w:color w:val="000000" w:themeColor="text1"/>
          <w:sz w:val="24"/>
          <w:szCs w:val="24"/>
        </w:rPr>
        <w:t>儿童几岁</w:t>
      </w:r>
      <w:proofErr w:type="gramStart"/>
      <w:r w:rsidR="006F5733" w:rsidRPr="006F5733">
        <w:rPr>
          <w:rFonts w:asciiTheme="minorEastAsia" w:hAnsiTheme="minorEastAsia" w:hint="eastAsia"/>
          <w:color w:val="000000" w:themeColor="text1"/>
          <w:sz w:val="24"/>
          <w:szCs w:val="24"/>
        </w:rPr>
        <w:t>时会识性别</w:t>
      </w:r>
      <w:proofErr w:type="gramEnd"/>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A.1岁</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B.2岁</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C.3岁</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D.4岁</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E.5岁</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6F5733" w:rsidRPr="006F5733">
        <w:rPr>
          <w:rFonts w:asciiTheme="minorEastAsia" w:hAnsiTheme="minorEastAsia" w:hint="eastAsia"/>
          <w:color w:val="000000" w:themeColor="text1"/>
          <w:sz w:val="24"/>
          <w:szCs w:val="24"/>
        </w:rPr>
        <w:t>关于儿童运动的发展规律说法正确的是</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A.婴儿最初的动作是局部的</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B.儿童正面的动作先于反面的动作</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C.儿童动作的发展是自足端向头端进行</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D.儿童动作发展从肢体远端开始</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E.动作发展是从集中到泛化</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6F5733" w:rsidRPr="006F5733">
        <w:rPr>
          <w:rFonts w:asciiTheme="minorEastAsia" w:hAnsiTheme="minorEastAsia" w:hint="eastAsia"/>
          <w:color w:val="000000" w:themeColor="text1"/>
          <w:sz w:val="24"/>
          <w:szCs w:val="24"/>
        </w:rPr>
        <w:t>婴儿期若断离母乳，</w:t>
      </w:r>
      <w:proofErr w:type="gramStart"/>
      <w:r w:rsidR="006F5733" w:rsidRPr="006F5733">
        <w:rPr>
          <w:rFonts w:asciiTheme="minorEastAsia" w:hAnsiTheme="minorEastAsia" w:hint="eastAsia"/>
          <w:color w:val="000000" w:themeColor="text1"/>
          <w:sz w:val="24"/>
          <w:szCs w:val="24"/>
        </w:rPr>
        <w:t>婴儿总奶量</w:t>
      </w:r>
      <w:proofErr w:type="gramEnd"/>
      <w:r w:rsidR="006F5733" w:rsidRPr="006F5733">
        <w:rPr>
          <w:rFonts w:asciiTheme="minorEastAsia" w:hAnsiTheme="minorEastAsia" w:hint="eastAsia"/>
          <w:color w:val="000000" w:themeColor="text1"/>
          <w:sz w:val="24"/>
          <w:szCs w:val="24"/>
        </w:rPr>
        <w:t>需要维持在</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A.500ml/d左右</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B.600ml/d左右</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C.700ml/d左右</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D.800ml/d左右</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E.1000ml/d左右</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6F5733" w:rsidRPr="006F5733">
        <w:rPr>
          <w:rFonts w:asciiTheme="minorEastAsia" w:hAnsiTheme="minorEastAsia" w:hint="eastAsia"/>
          <w:color w:val="000000" w:themeColor="text1"/>
          <w:sz w:val="24"/>
          <w:szCs w:val="24"/>
        </w:rPr>
        <w:t>我国普遍应用的口服疫苗为</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A.卡介苗</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B.乙肝疫苗</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C.脊髓灰质炎三价混合疫苗</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D.麻疹活疫苗</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E.百白破混合制剂</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6F5733" w:rsidRPr="006F5733">
        <w:rPr>
          <w:rFonts w:asciiTheme="minorEastAsia" w:hAnsiTheme="minorEastAsia" w:hint="eastAsia"/>
          <w:color w:val="000000" w:themeColor="text1"/>
          <w:sz w:val="24"/>
          <w:szCs w:val="24"/>
        </w:rPr>
        <w:t>下面哪种疫苗是减毒活疫苗</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A.卡介苗</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B.乙脑疫苗</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C.百日咳菌液</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D.白喉类毒素</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E.破伤风类毒素</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6F5733" w:rsidRPr="006F5733">
        <w:rPr>
          <w:rFonts w:asciiTheme="minorEastAsia" w:hAnsiTheme="minorEastAsia" w:hint="eastAsia"/>
          <w:color w:val="000000" w:themeColor="text1"/>
          <w:sz w:val="24"/>
          <w:szCs w:val="24"/>
        </w:rPr>
        <w:t>下列关于定期健康检查说法错误的是</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A.健康检查需在预防接种后进行</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B.每次健康检查时间不应少于5～10分钟。</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C.6～9个月以上婴儿应检查一次血红蛋白或血常规</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D.儿童4岁开始每年采用国际标准视力表或标准对数视力表灯箱进行一次视力筛查。</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E.健康检查可根据儿童个体情况，结合预防接种时间或本地区实际情况适当调整</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6F5733" w:rsidRPr="006F5733">
        <w:rPr>
          <w:rFonts w:asciiTheme="minorEastAsia" w:hAnsiTheme="minorEastAsia" w:hint="eastAsia"/>
          <w:color w:val="000000" w:themeColor="text1"/>
          <w:sz w:val="24"/>
          <w:szCs w:val="24"/>
        </w:rPr>
        <w:t>最常见的引起龋齿的病菌是</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A.变形链球菌和乳酸杆菌</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B.变形链球菌</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C.乳酸杆菌</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D.G+杆菌</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E.溶血性链球菌</w:t>
      </w:r>
    </w:p>
    <w:p w:rsidR="00F05A5C" w:rsidRDefault="00F05A5C" w:rsidP="009B6043">
      <w:pPr>
        <w:rPr>
          <w:rFonts w:asciiTheme="minorEastAsia" w:hAnsiTheme="minorEastAsia"/>
          <w:color w:val="000000" w:themeColor="text1"/>
          <w:sz w:val="24"/>
          <w:szCs w:val="24"/>
        </w:rPr>
      </w:pPr>
    </w:p>
    <w:p w:rsidR="006F5733" w:rsidRPr="006F5733" w:rsidRDefault="009B6043" w:rsidP="006F5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6F5733" w:rsidRPr="006F5733">
        <w:rPr>
          <w:rFonts w:asciiTheme="minorEastAsia" w:hAnsiTheme="minorEastAsia" w:hint="eastAsia"/>
          <w:color w:val="000000" w:themeColor="text1"/>
          <w:sz w:val="24"/>
          <w:szCs w:val="24"/>
        </w:rPr>
        <w:t>电击伤的急救措施不包括</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A.脱离电源</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B.呼吸心跳停止者进行人工呼吸，心脏按摩</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C.有灼伤部位进行相应处理</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D.对症治疗</w:t>
      </w:r>
    </w:p>
    <w:p w:rsidR="003D2782" w:rsidRPr="001419E1" w:rsidRDefault="006F5733" w:rsidP="006F5733">
      <w:pPr>
        <w:rPr>
          <w:rFonts w:asciiTheme="minorEastAsia" w:hAnsiTheme="minorEastAsia"/>
          <w:color w:val="000000" w:themeColor="text1"/>
        </w:rPr>
      </w:pPr>
      <w:r w:rsidRPr="006F5733">
        <w:rPr>
          <w:rFonts w:asciiTheme="minorEastAsia" w:hAnsiTheme="minorEastAsia" w:hint="eastAsia"/>
          <w:color w:val="000000" w:themeColor="text1"/>
          <w:sz w:val="24"/>
          <w:szCs w:val="24"/>
        </w:rPr>
        <w:t>E.用冰凉</w:t>
      </w:r>
      <w:proofErr w:type="gramStart"/>
      <w:r w:rsidRPr="006F5733">
        <w:rPr>
          <w:rFonts w:asciiTheme="minorEastAsia" w:hAnsiTheme="minorEastAsia" w:hint="eastAsia"/>
          <w:color w:val="000000" w:themeColor="text1"/>
          <w:sz w:val="24"/>
          <w:szCs w:val="24"/>
        </w:rPr>
        <w:t>敷</w:t>
      </w:r>
      <w:proofErr w:type="gramEnd"/>
      <w:r w:rsidRPr="006F5733">
        <w:rPr>
          <w:rFonts w:asciiTheme="minorEastAsia" w:hAnsiTheme="minorEastAsia" w:hint="eastAsia"/>
          <w:color w:val="000000" w:themeColor="text1"/>
          <w:sz w:val="24"/>
          <w:szCs w:val="24"/>
        </w:rPr>
        <w:t>头部，保护脑组织</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A</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大于胎龄儿（LGA）:指出生体重在相同胎</w:t>
      </w:r>
      <w:proofErr w:type="gramStart"/>
      <w:r w:rsidR="006F5733" w:rsidRPr="006F5733">
        <w:rPr>
          <w:rFonts w:asciiTheme="minorEastAsia" w:hAnsiTheme="minorEastAsia" w:hint="eastAsia"/>
          <w:color w:val="000000" w:themeColor="text1"/>
          <w:sz w:val="24"/>
          <w:szCs w:val="24"/>
        </w:rPr>
        <w:t>龄平均</w:t>
      </w:r>
      <w:proofErr w:type="gramEnd"/>
      <w:r w:rsidR="006F5733" w:rsidRPr="006F5733">
        <w:rPr>
          <w:rFonts w:asciiTheme="minorEastAsia" w:hAnsiTheme="minorEastAsia" w:hint="eastAsia"/>
          <w:color w:val="000000" w:themeColor="text1"/>
          <w:sz w:val="24"/>
          <w:szCs w:val="24"/>
        </w:rPr>
        <w:t>体重的第90</w:t>
      </w:r>
      <w:proofErr w:type="gramStart"/>
      <w:r w:rsidR="006F5733" w:rsidRPr="006F5733">
        <w:rPr>
          <w:rFonts w:asciiTheme="minorEastAsia" w:hAnsiTheme="minorEastAsia" w:hint="eastAsia"/>
          <w:color w:val="000000" w:themeColor="text1"/>
          <w:sz w:val="24"/>
          <w:szCs w:val="24"/>
        </w:rPr>
        <w:t>百</w:t>
      </w:r>
      <w:proofErr w:type="gramEnd"/>
      <w:r w:rsidR="006F5733" w:rsidRPr="006F5733">
        <w:rPr>
          <w:rFonts w:asciiTheme="minorEastAsia" w:hAnsiTheme="minorEastAsia" w:hint="eastAsia"/>
          <w:color w:val="000000" w:themeColor="text1"/>
          <w:sz w:val="24"/>
          <w:szCs w:val="24"/>
        </w:rPr>
        <w:t>分位以上的婴儿。小于胎龄儿（SGA）:指出生体重在相同胎</w:t>
      </w:r>
      <w:proofErr w:type="gramStart"/>
      <w:r w:rsidR="006F5733" w:rsidRPr="006F5733">
        <w:rPr>
          <w:rFonts w:asciiTheme="minorEastAsia" w:hAnsiTheme="minorEastAsia" w:hint="eastAsia"/>
          <w:color w:val="000000" w:themeColor="text1"/>
          <w:sz w:val="24"/>
          <w:szCs w:val="24"/>
        </w:rPr>
        <w:t>龄平均</w:t>
      </w:r>
      <w:proofErr w:type="gramEnd"/>
      <w:r w:rsidR="006F5733" w:rsidRPr="006F5733">
        <w:rPr>
          <w:rFonts w:asciiTheme="minorEastAsia" w:hAnsiTheme="minorEastAsia" w:hint="eastAsia"/>
          <w:color w:val="000000" w:themeColor="text1"/>
          <w:sz w:val="24"/>
          <w:szCs w:val="24"/>
        </w:rPr>
        <w:t>体重的第10个百分位以下的婴儿。</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体重是反映小儿生长发育的最重要也是最灵敏的指标。因为体重反映儿童的营养状况，尤其是近期的营养状况。体重可以受多种因素如：营养、辅食添加、疾病等的影响。体重在出生头3个月增长最快，一般为月增长600～1000克，最好不低于600克。3～6个月次之，一般月增长600～800克。6～12个月</w:t>
      </w:r>
      <w:r w:rsidR="006F5733" w:rsidRPr="006F5733">
        <w:rPr>
          <w:rFonts w:asciiTheme="minorEastAsia" w:hAnsiTheme="minorEastAsia" w:hint="eastAsia"/>
          <w:color w:val="000000" w:themeColor="text1"/>
          <w:sz w:val="24"/>
          <w:szCs w:val="24"/>
        </w:rPr>
        <w:lastRenderedPageBreak/>
        <w:t>平均每个月增长300克。1岁后小儿生长速度明显减慢，1～3岁小儿平均每个月体重增长150克。身高是反映儿童近期与远期营养状况的重要指标。</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1岁以前儿童主要是咿呀作语和初步理解阶段，听懂几样物品的名称，会招手“再见”，或拍手表示“欢迎”。以后开始学说话，1岁时有意识地叫“爸爸”、“妈妈”，2岁说短句子，会用代词“我”，3岁会说歌谣、识性别。</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B</w:t>
      </w:r>
    </w:p>
    <w:p w:rsidR="006F5733" w:rsidRPr="006F5733" w:rsidRDefault="009B6043" w:rsidP="006F573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运动发育的规律为：</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（1）从泛化到集中：婴儿最初的动作是全身性的、不精确的，以后逐步分化为局部的、精确的动作，由不协调到协调。</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（2）从上到下：儿童动作的发展是自头端向足端进行。</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（3）从近到远：儿童动作的发展是从身体中部开始，越接近躯干的部位动作发展越早，然后逐渐向肢体远端发展。</w:t>
      </w:r>
    </w:p>
    <w:p w:rsidR="009B604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（4）先正后反：即儿童正面的动作先于反面的动作。</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婴儿期若断离母乳，仍需维持</w:t>
      </w:r>
      <w:proofErr w:type="gramStart"/>
      <w:r w:rsidR="006F5733" w:rsidRPr="006F5733">
        <w:rPr>
          <w:rFonts w:asciiTheme="minorEastAsia" w:hAnsiTheme="minorEastAsia" w:hint="eastAsia"/>
          <w:color w:val="000000" w:themeColor="text1"/>
          <w:sz w:val="24"/>
          <w:szCs w:val="24"/>
        </w:rPr>
        <w:t>婴儿总奶量</w:t>
      </w:r>
      <w:proofErr w:type="gramEnd"/>
      <w:r w:rsidR="006F5733" w:rsidRPr="006F5733">
        <w:rPr>
          <w:rFonts w:asciiTheme="minorEastAsia" w:hAnsiTheme="minorEastAsia" w:hint="eastAsia"/>
          <w:color w:val="000000" w:themeColor="text1"/>
          <w:sz w:val="24"/>
          <w:szCs w:val="24"/>
        </w:rPr>
        <w:t>800ml/d左右。</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卡介苗的接种方式为皮内注射；乙肝疫苗的接种方式为肌内注射；脊髓灰质炎疫苗的接种方式为口服；麻疹活疫苗的接种方式为皮下注射，百白破混合制剂的接种方式为肌内注射。</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减毒活疫苗：</w:t>
      </w:r>
      <w:proofErr w:type="gramStart"/>
      <w:r w:rsidR="006F5733" w:rsidRPr="006F5733">
        <w:rPr>
          <w:rFonts w:asciiTheme="minorEastAsia" w:hAnsiTheme="minorEastAsia" w:hint="eastAsia"/>
          <w:color w:val="000000" w:themeColor="text1"/>
          <w:sz w:val="24"/>
          <w:szCs w:val="24"/>
        </w:rPr>
        <w:t>由减毒</w:t>
      </w:r>
      <w:proofErr w:type="gramEnd"/>
      <w:r w:rsidR="006F5733" w:rsidRPr="006F5733">
        <w:rPr>
          <w:rFonts w:asciiTheme="minorEastAsia" w:hAnsiTheme="minorEastAsia" w:hint="eastAsia"/>
          <w:color w:val="000000" w:themeColor="text1"/>
          <w:sz w:val="24"/>
          <w:szCs w:val="24"/>
        </w:rPr>
        <w:t>或无毒的病原微生物制成。</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健康检查需在预防接种前进行，就诊环境布置应便于儿童先体检、后预防接种。</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引起龋齿的病菌主要的是某些变形链球菌和乳酸杆菌。这些细菌与唾液中的粘蛋白和食物残屑混合在一起，牢固地粘附在牙齿表面和窝沟中。这种粘合物</w:t>
      </w:r>
      <w:proofErr w:type="gramStart"/>
      <w:r w:rsidR="006F5733" w:rsidRPr="006F5733">
        <w:rPr>
          <w:rFonts w:asciiTheme="minorEastAsia" w:hAnsiTheme="minorEastAsia" w:hint="eastAsia"/>
          <w:color w:val="000000" w:themeColor="text1"/>
          <w:sz w:val="24"/>
          <w:szCs w:val="24"/>
        </w:rPr>
        <w:t>叫作</w:t>
      </w:r>
      <w:proofErr w:type="gramEnd"/>
      <w:r w:rsidR="006F5733" w:rsidRPr="006F5733">
        <w:rPr>
          <w:rFonts w:asciiTheme="minorEastAsia" w:hAnsiTheme="minorEastAsia" w:hint="eastAsia"/>
          <w:color w:val="000000" w:themeColor="text1"/>
          <w:sz w:val="24"/>
          <w:szCs w:val="24"/>
        </w:rPr>
        <w:t>牙菌斑或菌斑。</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F5733">
        <w:rPr>
          <w:rFonts w:asciiTheme="minorEastAsia" w:hAnsiTheme="minorEastAsia" w:hint="eastAsia"/>
          <w:color w:val="000000" w:themeColor="text1"/>
          <w:sz w:val="24"/>
          <w:szCs w:val="24"/>
        </w:rPr>
        <w:t>E</w:t>
      </w:r>
    </w:p>
    <w:p w:rsidR="006F5733" w:rsidRPr="006F5733" w:rsidRDefault="009B6043" w:rsidP="006F573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F5733" w:rsidRPr="006F5733">
        <w:rPr>
          <w:rFonts w:asciiTheme="minorEastAsia" w:hAnsiTheme="minorEastAsia" w:hint="eastAsia"/>
          <w:color w:val="000000" w:themeColor="text1"/>
          <w:sz w:val="24"/>
          <w:szCs w:val="24"/>
        </w:rPr>
        <w:t>电击伤的急救处理</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（1）使患儿立即脱离电源。</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（2）检查呼吸、心跳。对呼吸、心跳停止者应立即实施心肺复苏。</w:t>
      </w:r>
    </w:p>
    <w:p w:rsidR="006F5733" w:rsidRPr="006F5733"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（3）对灼伤部位进行处理，其处理原则和方法与烫灼伤处理相同。</w:t>
      </w:r>
    </w:p>
    <w:p w:rsidR="009B6043" w:rsidRPr="001419E1" w:rsidRDefault="006F5733" w:rsidP="006F5733">
      <w:pPr>
        <w:rPr>
          <w:rFonts w:asciiTheme="minorEastAsia" w:hAnsiTheme="minorEastAsia"/>
          <w:color w:val="000000" w:themeColor="text1"/>
          <w:sz w:val="24"/>
          <w:szCs w:val="24"/>
        </w:rPr>
      </w:pPr>
      <w:r w:rsidRPr="006F5733">
        <w:rPr>
          <w:rFonts w:asciiTheme="minorEastAsia" w:hAnsiTheme="minorEastAsia" w:hint="eastAsia"/>
          <w:color w:val="000000" w:themeColor="text1"/>
          <w:sz w:val="24"/>
          <w:szCs w:val="24"/>
        </w:rPr>
        <w:t>（4）对触电后弹离电源或自高空跌下并发颅脑、内脏等损伤者，需及时送医院进行处理。</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433" w:rsidRDefault="00763433" w:rsidP="000D5E57">
      <w:r>
        <w:separator/>
      </w:r>
    </w:p>
  </w:endnote>
  <w:endnote w:type="continuationSeparator" w:id="0">
    <w:p w:rsidR="00763433" w:rsidRDefault="00763433"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433" w:rsidRDefault="00763433" w:rsidP="000D5E57">
      <w:r>
        <w:separator/>
      </w:r>
    </w:p>
  </w:footnote>
  <w:footnote w:type="continuationSeparator" w:id="0">
    <w:p w:rsidR="00763433" w:rsidRDefault="00763433"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4FB2"/>
    <w:rsid w:val="00146952"/>
    <w:rsid w:val="00190AEB"/>
    <w:rsid w:val="001951E8"/>
    <w:rsid w:val="00204EDF"/>
    <w:rsid w:val="00262EBF"/>
    <w:rsid w:val="003A09F1"/>
    <w:rsid w:val="003D2782"/>
    <w:rsid w:val="0042301D"/>
    <w:rsid w:val="00427604"/>
    <w:rsid w:val="00534068"/>
    <w:rsid w:val="005B0B77"/>
    <w:rsid w:val="006D6CA0"/>
    <w:rsid w:val="006F5733"/>
    <w:rsid w:val="0071025C"/>
    <w:rsid w:val="007458F2"/>
    <w:rsid w:val="00763433"/>
    <w:rsid w:val="00863B35"/>
    <w:rsid w:val="008B095D"/>
    <w:rsid w:val="00975150"/>
    <w:rsid w:val="0098479F"/>
    <w:rsid w:val="009852F3"/>
    <w:rsid w:val="00990547"/>
    <w:rsid w:val="009B6043"/>
    <w:rsid w:val="00A811FD"/>
    <w:rsid w:val="00A90E39"/>
    <w:rsid w:val="00B11E01"/>
    <w:rsid w:val="00B3178A"/>
    <w:rsid w:val="00BB1930"/>
    <w:rsid w:val="00C048BC"/>
    <w:rsid w:val="00C42353"/>
    <w:rsid w:val="00C56CED"/>
    <w:rsid w:val="00C95C35"/>
    <w:rsid w:val="00CB41AD"/>
    <w:rsid w:val="00CC291F"/>
    <w:rsid w:val="00CE2B98"/>
    <w:rsid w:val="00CF1B85"/>
    <w:rsid w:val="00D03B25"/>
    <w:rsid w:val="00DA781F"/>
    <w:rsid w:val="00E041A8"/>
    <w:rsid w:val="00E271D9"/>
    <w:rsid w:val="00E61200"/>
    <w:rsid w:val="00E85A43"/>
    <w:rsid w:val="00EA0E86"/>
    <w:rsid w:val="00F05A5C"/>
    <w:rsid w:val="00F1633F"/>
    <w:rsid w:val="00F704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2016-11-16T10:38:00Z</dcterms:modified>
</cp:coreProperties>
</file>